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CEE" w:rsidRPr="00DF1E9B" w:rsidRDefault="00C5658C" w:rsidP="009B0CEE">
      <w:pPr>
        <w:spacing w:line="288" w:lineRule="auto"/>
        <w:rPr>
          <w:b/>
          <w:sz w:val="36"/>
        </w:rPr>
      </w:pPr>
      <w:r>
        <w:rPr>
          <w:b/>
          <w:bCs/>
          <w:noProof/>
          <w:sz w:val="36"/>
          <w:szCs w:val="22"/>
          <w:lang w:eastAsia="en-GB"/>
        </w:rPr>
        <w:drawing>
          <wp:anchor distT="0" distB="0" distL="114300" distR="114300" simplePos="0" relativeHeight="251658240" behindDoc="1" locked="0" layoutInCell="1" allowOverlap="1">
            <wp:simplePos x="0" y="0"/>
            <wp:positionH relativeFrom="column">
              <wp:posOffset>-906831</wp:posOffset>
            </wp:positionH>
            <wp:positionV relativeFrom="paragraph">
              <wp:posOffset>-913765</wp:posOffset>
            </wp:positionV>
            <wp:extent cx="7559040" cy="1104900"/>
            <wp:effectExtent l="0" t="0" r="3810" b="0"/>
            <wp:wrapNone/>
            <wp:docPr id="1" name="Picture 1"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59040" cy="1104900"/>
                    </a:xfrm>
                    <a:prstGeom prst="rect">
                      <a:avLst/>
                    </a:prstGeom>
                    <a:noFill/>
                  </pic:spPr>
                </pic:pic>
              </a:graphicData>
            </a:graphic>
            <wp14:sizeRelH relativeFrom="page">
              <wp14:pctWidth>0</wp14:pctWidth>
            </wp14:sizeRelH>
            <wp14:sizeRelV relativeFrom="page">
              <wp14:pctHeight>0</wp14:pctHeight>
            </wp14:sizeRelV>
          </wp:anchor>
        </w:drawing>
      </w:r>
      <w:r w:rsidR="009B0CEE" w:rsidRPr="00DF1E9B">
        <w:rPr>
          <w:b/>
          <w:bCs/>
          <w:sz w:val="36"/>
          <w:szCs w:val="22"/>
        </w:rPr>
        <w:t>Coroner’s Inquests – A Guide for Learners</w:t>
      </w:r>
      <w:bookmarkStart w:id="0" w:name="_GoBack"/>
      <w:bookmarkEnd w:id="0"/>
    </w:p>
    <w:tbl>
      <w:tblPr>
        <w:tblW w:w="0" w:type="auto"/>
        <w:tblLook w:val="04A0" w:firstRow="1" w:lastRow="0" w:firstColumn="1" w:lastColumn="0" w:noHBand="0" w:noVBand="1"/>
      </w:tblPr>
      <w:tblGrid>
        <w:gridCol w:w="9242"/>
      </w:tblGrid>
      <w:tr w:rsidR="009B0CEE" w:rsidRPr="006F12DD" w:rsidTr="001C4A74">
        <w:trPr>
          <w:trHeight w:val="283"/>
        </w:trPr>
        <w:tc>
          <w:tcPr>
            <w:tcW w:w="9956" w:type="dxa"/>
            <w:shd w:val="clear" w:color="auto" w:fill="FFC000"/>
            <w:vAlign w:val="center"/>
          </w:tcPr>
          <w:p w:rsidR="009B0CEE" w:rsidRPr="006F12DD" w:rsidRDefault="009B0CEE" w:rsidP="001C4A74">
            <w:pPr>
              <w:rPr>
                <w:rFonts w:cs="Arial"/>
                <w:b/>
                <w:szCs w:val="22"/>
              </w:rPr>
            </w:pPr>
            <w:r w:rsidRPr="006F12DD">
              <w:rPr>
                <w:rFonts w:cs="Arial"/>
                <w:b/>
                <w:szCs w:val="22"/>
              </w:rPr>
              <w:t>Section 1: Introduction</w:t>
            </w:r>
          </w:p>
        </w:tc>
      </w:tr>
      <w:tr w:rsidR="009B0CEE" w:rsidRPr="006F12DD" w:rsidTr="001C4A74">
        <w:trPr>
          <w:trHeight w:val="1757"/>
        </w:trPr>
        <w:tc>
          <w:tcPr>
            <w:tcW w:w="9956" w:type="dxa"/>
            <w:shd w:val="clear" w:color="auto" w:fill="auto"/>
          </w:tcPr>
          <w:p w:rsidR="009B0CEE" w:rsidRPr="006F12DD" w:rsidRDefault="009B0CEE" w:rsidP="001C4A74">
            <w:pPr>
              <w:pStyle w:val="BodyText"/>
              <w:rPr>
                <w:rFonts w:cs="Arial"/>
                <w:szCs w:val="22"/>
              </w:rPr>
            </w:pPr>
            <w:r w:rsidRPr="006F12DD">
              <w:rPr>
                <w:rFonts w:cs="Arial"/>
                <w:szCs w:val="22"/>
              </w:rPr>
              <w:t xml:space="preserve">Being called as a witness at an inquest is an infrequent event. It can however cause much anxiety and uncertainty. This guide is written to give advice to </w:t>
            </w:r>
            <w:r>
              <w:rPr>
                <w:rFonts w:cs="Arial"/>
                <w:szCs w:val="22"/>
              </w:rPr>
              <w:t>learner</w:t>
            </w:r>
            <w:r w:rsidRPr="006F12DD">
              <w:rPr>
                <w:rFonts w:cs="Arial"/>
                <w:szCs w:val="22"/>
              </w:rPr>
              <w:t>s on how to prepare for an inquest and what support is available. A Coroner may be a Lawyer or a Doctor (or both), and is an independent judicial officer who must investigate sudden death of which the cause is unknown, violent or unnatural. Coroner’s jurisdiction has existed for eight centuries but has been greatly reduced over time to narrow their field of inquiry currently to sudden or unexpected deaths.</w:t>
            </w:r>
          </w:p>
        </w:tc>
      </w:tr>
      <w:tr w:rsidR="009B0CEE" w:rsidRPr="001C6E3D" w:rsidTr="001C4A74">
        <w:trPr>
          <w:trHeight w:val="284"/>
        </w:trPr>
        <w:tc>
          <w:tcPr>
            <w:tcW w:w="9956" w:type="dxa"/>
            <w:shd w:val="clear" w:color="auto" w:fill="FFC000"/>
            <w:vAlign w:val="center"/>
          </w:tcPr>
          <w:p w:rsidR="009B0CEE" w:rsidRPr="001C6E3D" w:rsidRDefault="009B0CEE" w:rsidP="001C4A74">
            <w:pPr>
              <w:rPr>
                <w:rFonts w:cs="Arial"/>
                <w:b/>
                <w:szCs w:val="22"/>
              </w:rPr>
            </w:pPr>
            <w:r w:rsidRPr="001C6E3D">
              <w:rPr>
                <w:rFonts w:cs="Arial"/>
                <w:b/>
                <w:szCs w:val="22"/>
              </w:rPr>
              <w:t xml:space="preserve">Section 2: Who does this </w:t>
            </w:r>
            <w:r>
              <w:rPr>
                <w:rFonts w:cs="Arial"/>
                <w:b/>
                <w:szCs w:val="22"/>
              </w:rPr>
              <w:t>guide</w:t>
            </w:r>
            <w:r w:rsidRPr="001C6E3D">
              <w:rPr>
                <w:rFonts w:cs="Arial"/>
                <w:b/>
                <w:szCs w:val="22"/>
              </w:rPr>
              <w:t xml:space="preserve"> apply to</w:t>
            </w:r>
          </w:p>
        </w:tc>
      </w:tr>
      <w:tr w:rsidR="009B0CEE" w:rsidRPr="006F12DD" w:rsidTr="001C4A74">
        <w:trPr>
          <w:trHeight w:val="737"/>
        </w:trPr>
        <w:tc>
          <w:tcPr>
            <w:tcW w:w="9956" w:type="dxa"/>
            <w:shd w:val="clear" w:color="auto" w:fill="auto"/>
          </w:tcPr>
          <w:p w:rsidR="009B0CEE" w:rsidRPr="006F12DD" w:rsidRDefault="009B0CEE" w:rsidP="001C4A74">
            <w:pPr>
              <w:rPr>
                <w:rFonts w:cs="Arial"/>
                <w:szCs w:val="22"/>
              </w:rPr>
            </w:pPr>
            <w:r>
              <w:rPr>
                <w:rFonts w:cs="Arial"/>
                <w:szCs w:val="22"/>
              </w:rPr>
              <w:t>The aim of t</w:t>
            </w:r>
            <w:r w:rsidRPr="006F12DD">
              <w:rPr>
                <w:rFonts w:cs="Arial"/>
                <w:szCs w:val="22"/>
              </w:rPr>
              <w:t xml:space="preserve">hese guidelines </w:t>
            </w:r>
            <w:r>
              <w:rPr>
                <w:rFonts w:cs="Arial"/>
                <w:szCs w:val="22"/>
              </w:rPr>
              <w:t>is to provide</w:t>
            </w:r>
            <w:r w:rsidRPr="006F12DD">
              <w:rPr>
                <w:rFonts w:cs="Arial"/>
                <w:szCs w:val="22"/>
              </w:rPr>
              <w:t xml:space="preserve"> advice and support to all </w:t>
            </w:r>
            <w:r>
              <w:rPr>
                <w:rFonts w:cs="Arial"/>
                <w:szCs w:val="22"/>
              </w:rPr>
              <w:t>learner</w:t>
            </w:r>
            <w:r w:rsidRPr="006F12DD">
              <w:rPr>
                <w:rFonts w:cs="Arial"/>
                <w:szCs w:val="22"/>
              </w:rPr>
              <w:t>s</w:t>
            </w:r>
            <w:r>
              <w:rPr>
                <w:rFonts w:cs="Arial"/>
                <w:szCs w:val="22"/>
              </w:rPr>
              <w:t xml:space="preserve"> involved in a Coroner’s Inquest</w:t>
            </w:r>
          </w:p>
        </w:tc>
      </w:tr>
      <w:tr w:rsidR="009B0CEE" w:rsidRPr="001C6E3D" w:rsidTr="001C4A74">
        <w:trPr>
          <w:trHeight w:val="284"/>
        </w:trPr>
        <w:tc>
          <w:tcPr>
            <w:tcW w:w="9956" w:type="dxa"/>
            <w:shd w:val="clear" w:color="auto" w:fill="FFC000"/>
            <w:vAlign w:val="center"/>
          </w:tcPr>
          <w:p w:rsidR="009B0CEE" w:rsidRPr="001C6E3D" w:rsidRDefault="009B0CEE" w:rsidP="001C4A74">
            <w:pPr>
              <w:rPr>
                <w:rFonts w:cs="Arial"/>
                <w:b/>
                <w:szCs w:val="22"/>
              </w:rPr>
            </w:pPr>
            <w:r w:rsidRPr="001C6E3D">
              <w:rPr>
                <w:rFonts w:cs="Arial"/>
                <w:b/>
                <w:szCs w:val="22"/>
              </w:rPr>
              <w:t xml:space="preserve">Section 3: Definitions of abbreviations used throughout the </w:t>
            </w:r>
            <w:r>
              <w:rPr>
                <w:rFonts w:cs="Arial"/>
                <w:b/>
                <w:szCs w:val="22"/>
              </w:rPr>
              <w:t>guide</w:t>
            </w:r>
          </w:p>
        </w:tc>
      </w:tr>
      <w:tr w:rsidR="009B0CEE" w:rsidRPr="006F12DD" w:rsidTr="001C4A74">
        <w:trPr>
          <w:trHeight w:val="537"/>
        </w:trPr>
        <w:tc>
          <w:tcPr>
            <w:tcW w:w="9956" w:type="dxa"/>
            <w:shd w:val="clear" w:color="auto" w:fill="auto"/>
          </w:tcPr>
          <w:p w:rsidR="009B0CEE" w:rsidRPr="006F12DD" w:rsidRDefault="009B0CEE" w:rsidP="009B0CEE">
            <w:pPr>
              <w:numPr>
                <w:ilvl w:val="0"/>
                <w:numId w:val="4"/>
              </w:numPr>
              <w:spacing w:line="240" w:lineRule="auto"/>
              <w:rPr>
                <w:rFonts w:cs="Arial"/>
                <w:szCs w:val="22"/>
              </w:rPr>
            </w:pPr>
            <w:r>
              <w:rPr>
                <w:rFonts w:cs="Arial"/>
                <w:szCs w:val="22"/>
              </w:rPr>
              <w:t>HEE – Health Education England</w:t>
            </w:r>
          </w:p>
        </w:tc>
      </w:tr>
      <w:tr w:rsidR="009B0CEE" w:rsidRPr="001C6E3D" w:rsidTr="001C4A74">
        <w:trPr>
          <w:trHeight w:val="284"/>
        </w:trPr>
        <w:tc>
          <w:tcPr>
            <w:tcW w:w="9956" w:type="dxa"/>
            <w:shd w:val="clear" w:color="auto" w:fill="FFC000"/>
            <w:vAlign w:val="center"/>
          </w:tcPr>
          <w:p w:rsidR="009B0CEE" w:rsidRPr="001C6E3D" w:rsidRDefault="009B0CEE" w:rsidP="001C4A74">
            <w:pPr>
              <w:rPr>
                <w:rFonts w:cs="Arial"/>
                <w:b/>
                <w:szCs w:val="22"/>
              </w:rPr>
            </w:pPr>
            <w:r w:rsidRPr="001C6E3D">
              <w:rPr>
                <w:rFonts w:cs="Arial"/>
                <w:b/>
                <w:szCs w:val="22"/>
              </w:rPr>
              <w:t>Section 4: Roles and Responsibilities of the users</w:t>
            </w:r>
          </w:p>
        </w:tc>
      </w:tr>
      <w:tr w:rsidR="009B0CEE" w:rsidRPr="006F12DD" w:rsidTr="001C4A74">
        <w:trPr>
          <w:trHeight w:val="864"/>
        </w:trPr>
        <w:tc>
          <w:tcPr>
            <w:tcW w:w="9956" w:type="dxa"/>
            <w:shd w:val="clear" w:color="auto" w:fill="auto"/>
          </w:tcPr>
          <w:p w:rsidR="009B0CEE" w:rsidRPr="006F12DD" w:rsidRDefault="009B0CEE" w:rsidP="001C4A74">
            <w:pPr>
              <w:rPr>
                <w:rFonts w:cs="Arial"/>
                <w:szCs w:val="22"/>
              </w:rPr>
            </w:pPr>
            <w:r>
              <w:rPr>
                <w:rFonts w:cs="Arial"/>
                <w:szCs w:val="22"/>
              </w:rPr>
              <w:t>Coroner’s Inquests will feature in many learners’ careers.  Learners should seek advice from their supervisors and mentors if they are unsure of any part of the process.</w:t>
            </w:r>
          </w:p>
        </w:tc>
      </w:tr>
      <w:tr w:rsidR="009B0CEE" w:rsidRPr="00F84672" w:rsidTr="001C4A74">
        <w:trPr>
          <w:trHeight w:val="283"/>
        </w:trPr>
        <w:tc>
          <w:tcPr>
            <w:tcW w:w="9956" w:type="dxa"/>
            <w:shd w:val="clear" w:color="auto" w:fill="FFC000"/>
          </w:tcPr>
          <w:p w:rsidR="009B0CEE" w:rsidRPr="00F84672" w:rsidRDefault="009B0CEE" w:rsidP="001C4A74">
            <w:pPr>
              <w:rPr>
                <w:b/>
                <w:bCs/>
                <w:szCs w:val="22"/>
              </w:rPr>
            </w:pPr>
            <w:r w:rsidRPr="006F0E1F">
              <w:rPr>
                <w:rFonts w:cs="Arial"/>
                <w:b/>
                <w:szCs w:val="22"/>
              </w:rPr>
              <w:t>Section 5: Reporting Deaths</w:t>
            </w:r>
          </w:p>
        </w:tc>
      </w:tr>
      <w:tr w:rsidR="009B0CEE" w:rsidRPr="006F12DD" w:rsidTr="001C4A74">
        <w:trPr>
          <w:trHeight w:val="20"/>
        </w:trPr>
        <w:tc>
          <w:tcPr>
            <w:tcW w:w="9956" w:type="dxa"/>
            <w:shd w:val="clear" w:color="auto" w:fill="auto"/>
          </w:tcPr>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r w:rsidRPr="006F12DD">
              <w:rPr>
                <w:rFonts w:cs="Arial"/>
                <w:szCs w:val="22"/>
              </w:rPr>
              <w:t>The circumstances in which reporting a death is mandatory or advisable are covered in Trust</w:t>
            </w:r>
            <w:r>
              <w:rPr>
                <w:rFonts w:cs="Arial"/>
                <w:szCs w:val="22"/>
              </w:rPr>
              <w:t>/provider</w:t>
            </w:r>
            <w:r w:rsidRPr="006F12DD">
              <w:rPr>
                <w:rFonts w:cs="Arial"/>
                <w:szCs w:val="22"/>
              </w:rPr>
              <w:t xml:space="preserve"> induction. If you are in doubt then seek advice from the Coroner’s Office, from the bereavement office or Trust</w:t>
            </w:r>
            <w:r>
              <w:rPr>
                <w:rFonts w:cs="Arial"/>
                <w:szCs w:val="22"/>
              </w:rPr>
              <w:t>/provider</w:t>
            </w:r>
            <w:r w:rsidRPr="006F12DD">
              <w:rPr>
                <w:rFonts w:cs="Arial"/>
                <w:szCs w:val="22"/>
              </w:rPr>
              <w:t xml:space="preserve"> legal services. It is better to have a short conversation with the Coroner’s Office ending with “the Coroner has no interest in this death” rather than the complexities of having to deal with a case which should have been reported.</w:t>
            </w:r>
          </w:p>
          <w:p w:rsidR="009B0CEE" w:rsidRPr="006F12DD" w:rsidRDefault="009B0CEE" w:rsidP="001C4A74">
            <w:pPr>
              <w:pStyle w:val="BodyText"/>
              <w:spacing w:before="0" w:after="0"/>
              <w:rPr>
                <w:rFonts w:cs="Arial"/>
                <w:szCs w:val="22"/>
              </w:rPr>
            </w:pPr>
          </w:p>
          <w:p w:rsidR="009B0CEE" w:rsidRPr="006F12DD" w:rsidRDefault="009B0CEE" w:rsidP="001C4A74">
            <w:pPr>
              <w:pStyle w:val="BodyText"/>
              <w:spacing w:before="0" w:after="0"/>
              <w:rPr>
                <w:rFonts w:cs="Arial"/>
                <w:szCs w:val="22"/>
              </w:rPr>
            </w:pPr>
            <w:r w:rsidRPr="006F12DD">
              <w:rPr>
                <w:rFonts w:cs="Arial"/>
                <w:szCs w:val="22"/>
              </w:rPr>
              <w:t>Common circumstances when the death will be reported are:</w:t>
            </w:r>
          </w:p>
          <w:p w:rsidR="009B0CEE" w:rsidRPr="006F12DD" w:rsidRDefault="009B0CEE" w:rsidP="009B0CEE">
            <w:pPr>
              <w:pStyle w:val="BodyText"/>
              <w:numPr>
                <w:ilvl w:val="0"/>
                <w:numId w:val="5"/>
              </w:numPr>
              <w:tabs>
                <w:tab w:val="clear" w:pos="567"/>
                <w:tab w:val="clear" w:pos="1134"/>
                <w:tab w:val="clear" w:pos="1701"/>
                <w:tab w:val="clear" w:pos="2268"/>
                <w:tab w:val="clear" w:pos="2835"/>
              </w:tabs>
              <w:spacing w:before="0" w:after="0"/>
              <w:rPr>
                <w:rFonts w:cs="Arial"/>
                <w:szCs w:val="22"/>
              </w:rPr>
            </w:pPr>
            <w:r w:rsidRPr="006F12DD">
              <w:rPr>
                <w:rFonts w:cs="Arial"/>
                <w:szCs w:val="22"/>
              </w:rPr>
              <w:t>The death was unnatural</w:t>
            </w:r>
          </w:p>
          <w:p w:rsidR="009B0CEE" w:rsidRPr="006F12DD" w:rsidRDefault="009B0CEE" w:rsidP="009B0CEE">
            <w:pPr>
              <w:pStyle w:val="BodyText"/>
              <w:numPr>
                <w:ilvl w:val="0"/>
                <w:numId w:val="5"/>
              </w:numPr>
              <w:tabs>
                <w:tab w:val="clear" w:pos="567"/>
                <w:tab w:val="clear" w:pos="1134"/>
                <w:tab w:val="clear" w:pos="1701"/>
                <w:tab w:val="clear" w:pos="2268"/>
                <w:tab w:val="clear" w:pos="2835"/>
              </w:tabs>
              <w:spacing w:before="0" w:after="0"/>
              <w:rPr>
                <w:rFonts w:cs="Arial"/>
                <w:szCs w:val="22"/>
              </w:rPr>
            </w:pPr>
            <w:r w:rsidRPr="006F12DD">
              <w:rPr>
                <w:rFonts w:cs="Arial"/>
                <w:szCs w:val="22"/>
              </w:rPr>
              <w:t>Death was due to accident, violence, neglect, abortion or any kind of poisoning</w:t>
            </w:r>
          </w:p>
          <w:p w:rsidR="009B0CEE" w:rsidRPr="006F12DD" w:rsidRDefault="009B0CEE" w:rsidP="009B0CEE">
            <w:pPr>
              <w:pStyle w:val="BodyText"/>
              <w:numPr>
                <w:ilvl w:val="0"/>
                <w:numId w:val="5"/>
              </w:numPr>
              <w:tabs>
                <w:tab w:val="clear" w:pos="567"/>
                <w:tab w:val="clear" w:pos="1134"/>
                <w:tab w:val="clear" w:pos="1701"/>
                <w:tab w:val="clear" w:pos="2268"/>
                <w:tab w:val="clear" w:pos="2835"/>
              </w:tabs>
              <w:spacing w:before="0" w:after="0"/>
              <w:rPr>
                <w:rFonts w:cs="Arial"/>
                <w:szCs w:val="22"/>
              </w:rPr>
            </w:pPr>
            <w:r w:rsidRPr="006F12DD">
              <w:rPr>
                <w:rFonts w:cs="Arial"/>
                <w:szCs w:val="22"/>
              </w:rPr>
              <w:t>Death was in other suspicious circumstances</w:t>
            </w:r>
          </w:p>
          <w:p w:rsidR="009B0CEE" w:rsidRPr="006F12DD" w:rsidRDefault="009B0CEE" w:rsidP="009B0CEE">
            <w:pPr>
              <w:pStyle w:val="BodyText"/>
              <w:numPr>
                <w:ilvl w:val="0"/>
                <w:numId w:val="5"/>
              </w:numPr>
              <w:tabs>
                <w:tab w:val="clear" w:pos="567"/>
                <w:tab w:val="clear" w:pos="1134"/>
                <w:tab w:val="clear" w:pos="1701"/>
                <w:tab w:val="clear" w:pos="2268"/>
                <w:tab w:val="clear" w:pos="2835"/>
              </w:tabs>
              <w:spacing w:before="0" w:after="0"/>
              <w:rPr>
                <w:rFonts w:cs="Arial"/>
                <w:szCs w:val="22"/>
              </w:rPr>
            </w:pPr>
            <w:r w:rsidRPr="006F12DD">
              <w:rPr>
                <w:rFonts w:cs="Arial"/>
                <w:szCs w:val="22"/>
              </w:rPr>
              <w:t>Death occurred in prison, police custody or other state of detention (including a sectioned patient in a psychiatric institution)</w:t>
            </w:r>
          </w:p>
          <w:p w:rsidR="009B0CEE" w:rsidRPr="006F12DD" w:rsidRDefault="009B0CEE" w:rsidP="009B0CEE">
            <w:pPr>
              <w:pStyle w:val="BodyText"/>
              <w:numPr>
                <w:ilvl w:val="0"/>
                <w:numId w:val="5"/>
              </w:numPr>
              <w:tabs>
                <w:tab w:val="clear" w:pos="567"/>
                <w:tab w:val="clear" w:pos="1134"/>
                <w:tab w:val="clear" w:pos="1701"/>
                <w:tab w:val="clear" w:pos="2268"/>
                <w:tab w:val="clear" w:pos="2835"/>
              </w:tabs>
              <w:spacing w:before="0" w:after="0"/>
              <w:rPr>
                <w:rFonts w:cs="Arial"/>
                <w:szCs w:val="22"/>
              </w:rPr>
            </w:pPr>
            <w:r w:rsidRPr="006F12DD">
              <w:rPr>
                <w:rFonts w:cs="Arial"/>
                <w:szCs w:val="22"/>
              </w:rPr>
              <w:t>No doctor attended the deceased during their last illness</w:t>
            </w:r>
          </w:p>
          <w:p w:rsidR="009B0CEE" w:rsidRPr="00660EF9" w:rsidRDefault="009B0CEE" w:rsidP="009B0CEE">
            <w:pPr>
              <w:pStyle w:val="BodyText"/>
              <w:numPr>
                <w:ilvl w:val="0"/>
                <w:numId w:val="5"/>
              </w:numPr>
              <w:tabs>
                <w:tab w:val="clear" w:pos="567"/>
                <w:tab w:val="clear" w:pos="1134"/>
                <w:tab w:val="clear" w:pos="1701"/>
                <w:tab w:val="clear" w:pos="2268"/>
                <w:tab w:val="clear" w:pos="2835"/>
              </w:tabs>
              <w:spacing w:before="0" w:after="0"/>
              <w:rPr>
                <w:rFonts w:cs="Arial"/>
                <w:szCs w:val="22"/>
              </w:rPr>
            </w:pPr>
            <w:r w:rsidRPr="006F12DD">
              <w:rPr>
                <w:rFonts w:cs="Arial"/>
                <w:szCs w:val="22"/>
              </w:rPr>
              <w:t>The deceased was not seen by a doctor within 14 days of death, nor after death</w:t>
            </w:r>
          </w:p>
          <w:p w:rsidR="009B0CEE" w:rsidRPr="006F12DD" w:rsidRDefault="009B0CEE" w:rsidP="009B0CEE">
            <w:pPr>
              <w:pStyle w:val="BodyText"/>
              <w:numPr>
                <w:ilvl w:val="0"/>
                <w:numId w:val="5"/>
              </w:numPr>
              <w:tabs>
                <w:tab w:val="clear" w:pos="567"/>
                <w:tab w:val="clear" w:pos="1134"/>
                <w:tab w:val="clear" w:pos="1701"/>
                <w:tab w:val="clear" w:pos="2268"/>
                <w:tab w:val="clear" w:pos="2835"/>
              </w:tabs>
              <w:spacing w:before="0" w:after="0"/>
              <w:rPr>
                <w:rFonts w:cs="Arial"/>
                <w:szCs w:val="22"/>
              </w:rPr>
            </w:pPr>
            <w:r w:rsidRPr="006F12DD">
              <w:rPr>
                <w:rFonts w:cs="Arial"/>
                <w:szCs w:val="22"/>
              </w:rPr>
              <w:t>The cause of death appears unknown</w:t>
            </w:r>
          </w:p>
          <w:p w:rsidR="009B0CEE" w:rsidRPr="006F12DD" w:rsidRDefault="009B0CEE" w:rsidP="009B0CEE">
            <w:pPr>
              <w:pStyle w:val="BodyText"/>
              <w:numPr>
                <w:ilvl w:val="0"/>
                <w:numId w:val="5"/>
              </w:numPr>
              <w:tabs>
                <w:tab w:val="clear" w:pos="567"/>
                <w:tab w:val="clear" w:pos="1134"/>
                <w:tab w:val="clear" w:pos="1701"/>
                <w:tab w:val="clear" w:pos="2268"/>
                <w:tab w:val="clear" w:pos="2835"/>
              </w:tabs>
              <w:spacing w:before="0" w:after="0"/>
              <w:rPr>
                <w:rFonts w:cs="Arial"/>
                <w:szCs w:val="22"/>
              </w:rPr>
            </w:pPr>
            <w:r w:rsidRPr="006F12DD">
              <w:rPr>
                <w:rFonts w:cs="Arial"/>
                <w:szCs w:val="22"/>
              </w:rPr>
              <w:t>Death occurred during surgery or recovery from anaesthetic. It is normal to discuss cases that occur within 30 days of surgery or an invasive procedure, even when the circumstances do not cause concern</w:t>
            </w:r>
          </w:p>
          <w:p w:rsidR="009B0CEE" w:rsidRPr="006F12DD" w:rsidRDefault="009B0CEE" w:rsidP="009B0CEE">
            <w:pPr>
              <w:pStyle w:val="BodyText"/>
              <w:numPr>
                <w:ilvl w:val="0"/>
                <w:numId w:val="5"/>
              </w:numPr>
              <w:tabs>
                <w:tab w:val="clear" w:pos="567"/>
                <w:tab w:val="clear" w:pos="1134"/>
                <w:tab w:val="clear" w:pos="1701"/>
                <w:tab w:val="clear" w:pos="2268"/>
                <w:tab w:val="clear" w:pos="2835"/>
              </w:tabs>
              <w:spacing w:before="0" w:after="0"/>
              <w:rPr>
                <w:rFonts w:cs="Arial"/>
                <w:szCs w:val="22"/>
              </w:rPr>
            </w:pPr>
            <w:r w:rsidRPr="006F12DD">
              <w:rPr>
                <w:rFonts w:cs="Arial"/>
                <w:szCs w:val="22"/>
              </w:rPr>
              <w:t>Death occurred at work or was due to industrial disease or poisoning</w:t>
            </w:r>
          </w:p>
          <w:p w:rsidR="009B0CEE" w:rsidRDefault="009B0CEE" w:rsidP="009B0CEE">
            <w:pPr>
              <w:pStyle w:val="BodyText"/>
              <w:numPr>
                <w:ilvl w:val="0"/>
                <w:numId w:val="5"/>
              </w:numPr>
              <w:tabs>
                <w:tab w:val="clear" w:pos="567"/>
                <w:tab w:val="clear" w:pos="1134"/>
                <w:tab w:val="clear" w:pos="1701"/>
                <w:tab w:val="clear" w:pos="2268"/>
                <w:tab w:val="clear" w:pos="2835"/>
              </w:tabs>
              <w:spacing w:before="0" w:after="0"/>
              <w:rPr>
                <w:rFonts w:cs="Arial"/>
                <w:szCs w:val="22"/>
              </w:rPr>
            </w:pPr>
            <w:r w:rsidRPr="006F12DD">
              <w:rPr>
                <w:rFonts w:cs="Arial"/>
                <w:szCs w:val="22"/>
              </w:rPr>
              <w:t>Death was sudden or unexpected. It is normal to discuss all deaths occurring in the Accident and Emergency Department, and any deaths within 24 hours of admission</w:t>
            </w:r>
          </w:p>
          <w:p w:rsidR="009B0CEE" w:rsidRPr="0002204B" w:rsidRDefault="009B0CEE" w:rsidP="009B0CEE">
            <w:pPr>
              <w:pStyle w:val="BodyText"/>
              <w:numPr>
                <w:ilvl w:val="0"/>
                <w:numId w:val="2"/>
              </w:numPr>
              <w:tabs>
                <w:tab w:val="clear" w:pos="567"/>
                <w:tab w:val="clear" w:pos="1134"/>
                <w:tab w:val="clear" w:pos="1701"/>
                <w:tab w:val="clear" w:pos="2268"/>
                <w:tab w:val="clear" w:pos="2835"/>
              </w:tabs>
              <w:spacing w:before="0" w:after="0"/>
              <w:ind w:left="0"/>
              <w:rPr>
                <w:rFonts w:cs="Arial"/>
                <w:szCs w:val="22"/>
              </w:rPr>
            </w:pPr>
          </w:p>
        </w:tc>
      </w:tr>
      <w:tr w:rsidR="009B0CEE" w:rsidRPr="00F84672" w:rsidTr="001C4A74">
        <w:trPr>
          <w:trHeight w:val="283"/>
        </w:trPr>
        <w:tc>
          <w:tcPr>
            <w:tcW w:w="9956" w:type="dxa"/>
            <w:shd w:val="clear" w:color="auto" w:fill="FFC000"/>
          </w:tcPr>
          <w:p w:rsidR="009B0CEE" w:rsidRPr="00811B52" w:rsidRDefault="009B0CEE" w:rsidP="001C4A74">
            <w:pPr>
              <w:rPr>
                <w:szCs w:val="22"/>
              </w:rPr>
            </w:pPr>
            <w:r w:rsidRPr="006F0E1F">
              <w:rPr>
                <w:rFonts w:cs="Arial"/>
                <w:b/>
                <w:szCs w:val="22"/>
              </w:rPr>
              <w:lastRenderedPageBreak/>
              <w:t>Section 6: What the Inquest means to the family</w:t>
            </w:r>
          </w:p>
        </w:tc>
      </w:tr>
      <w:tr w:rsidR="009B0CEE" w:rsidRPr="006F12DD" w:rsidTr="001C4A74">
        <w:trPr>
          <w:trHeight w:val="1985"/>
        </w:trPr>
        <w:tc>
          <w:tcPr>
            <w:tcW w:w="9956" w:type="dxa"/>
            <w:shd w:val="clear" w:color="auto" w:fill="auto"/>
          </w:tcPr>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r w:rsidRPr="006F12DD">
              <w:rPr>
                <w:rFonts w:cs="Arial"/>
                <w:szCs w:val="22"/>
              </w:rPr>
              <w:t>In most cases a Coroner’s Inquest will be the only public and independent investigation into the circumstances of a particular death. For the family of the deceased it can:</w:t>
            </w:r>
          </w:p>
          <w:p w:rsidR="009B0CEE" w:rsidRPr="006F12DD" w:rsidRDefault="009B0CEE" w:rsidP="001C4A74">
            <w:pPr>
              <w:pStyle w:val="BodyText"/>
              <w:spacing w:before="0" w:after="0"/>
              <w:rPr>
                <w:rFonts w:cs="Arial"/>
                <w:szCs w:val="22"/>
              </w:rPr>
            </w:pPr>
          </w:p>
          <w:p w:rsidR="009B0CEE" w:rsidRPr="006F12DD" w:rsidRDefault="009B0CEE" w:rsidP="009B0CEE">
            <w:pPr>
              <w:pStyle w:val="BodyText"/>
              <w:numPr>
                <w:ilvl w:val="0"/>
                <w:numId w:val="3"/>
              </w:numPr>
              <w:tabs>
                <w:tab w:val="clear" w:pos="567"/>
                <w:tab w:val="clear" w:pos="1134"/>
                <w:tab w:val="clear" w:pos="1701"/>
                <w:tab w:val="clear" w:pos="2268"/>
                <w:tab w:val="clear" w:pos="2835"/>
              </w:tabs>
              <w:spacing w:before="0" w:after="0"/>
              <w:ind w:left="357" w:hanging="357"/>
              <w:rPr>
                <w:rFonts w:cs="Arial"/>
                <w:szCs w:val="22"/>
              </w:rPr>
            </w:pPr>
            <w:r w:rsidRPr="006F12DD">
              <w:rPr>
                <w:rFonts w:cs="Arial"/>
                <w:szCs w:val="22"/>
              </w:rPr>
              <w:t>Help with the grieving process</w:t>
            </w:r>
          </w:p>
          <w:p w:rsidR="009B0CEE" w:rsidRPr="006F12DD" w:rsidRDefault="009B0CEE" w:rsidP="009B0CEE">
            <w:pPr>
              <w:pStyle w:val="BodyText"/>
              <w:numPr>
                <w:ilvl w:val="0"/>
                <w:numId w:val="3"/>
              </w:numPr>
              <w:tabs>
                <w:tab w:val="clear" w:pos="567"/>
                <w:tab w:val="clear" w:pos="1134"/>
                <w:tab w:val="clear" w:pos="1701"/>
                <w:tab w:val="clear" w:pos="2268"/>
                <w:tab w:val="clear" w:pos="2835"/>
              </w:tabs>
              <w:spacing w:before="0" w:after="0"/>
              <w:ind w:left="357" w:hanging="357"/>
              <w:rPr>
                <w:rFonts w:cs="Arial"/>
                <w:szCs w:val="22"/>
              </w:rPr>
            </w:pPr>
            <w:r w:rsidRPr="006F12DD">
              <w:rPr>
                <w:rFonts w:cs="Arial"/>
                <w:szCs w:val="22"/>
              </w:rPr>
              <w:t>Provide factual information</w:t>
            </w:r>
          </w:p>
          <w:p w:rsidR="009B0CEE" w:rsidRPr="006F12DD" w:rsidRDefault="009B0CEE" w:rsidP="009B0CEE">
            <w:pPr>
              <w:pStyle w:val="BodyText"/>
              <w:numPr>
                <w:ilvl w:val="0"/>
                <w:numId w:val="3"/>
              </w:numPr>
              <w:tabs>
                <w:tab w:val="clear" w:pos="567"/>
                <w:tab w:val="clear" w:pos="1134"/>
                <w:tab w:val="clear" w:pos="1701"/>
                <w:tab w:val="clear" w:pos="2268"/>
                <w:tab w:val="clear" w:pos="2835"/>
              </w:tabs>
              <w:spacing w:before="0" w:after="0"/>
              <w:ind w:left="357" w:hanging="357"/>
              <w:rPr>
                <w:rFonts w:cs="Arial"/>
                <w:szCs w:val="22"/>
              </w:rPr>
            </w:pPr>
            <w:r w:rsidRPr="006F12DD">
              <w:rPr>
                <w:rFonts w:cs="Arial"/>
                <w:szCs w:val="22"/>
              </w:rPr>
              <w:t>Provide a setting in which their questions can be answered</w:t>
            </w:r>
          </w:p>
          <w:p w:rsidR="009B0CEE" w:rsidRDefault="009B0CEE" w:rsidP="009B0CEE">
            <w:pPr>
              <w:pStyle w:val="BodyText"/>
              <w:numPr>
                <w:ilvl w:val="0"/>
                <w:numId w:val="3"/>
              </w:numPr>
              <w:tabs>
                <w:tab w:val="clear" w:pos="567"/>
                <w:tab w:val="clear" w:pos="1134"/>
                <w:tab w:val="clear" w:pos="1701"/>
                <w:tab w:val="clear" w:pos="2268"/>
                <w:tab w:val="clear" w:pos="2835"/>
              </w:tabs>
              <w:spacing w:before="0" w:after="0"/>
              <w:ind w:left="357" w:hanging="357"/>
              <w:rPr>
                <w:rFonts w:cs="Arial"/>
                <w:szCs w:val="22"/>
              </w:rPr>
            </w:pPr>
            <w:r w:rsidRPr="006F12DD">
              <w:rPr>
                <w:rFonts w:cs="Arial"/>
                <w:szCs w:val="22"/>
              </w:rPr>
              <w:t>Demonstrate changes in practice or procedures which may save future lives</w:t>
            </w:r>
          </w:p>
          <w:p w:rsidR="009B0CEE" w:rsidRPr="0002204B" w:rsidRDefault="009B0CEE" w:rsidP="001C4A74">
            <w:pPr>
              <w:pStyle w:val="BodyText"/>
              <w:tabs>
                <w:tab w:val="clear" w:pos="567"/>
                <w:tab w:val="clear" w:pos="1134"/>
                <w:tab w:val="clear" w:pos="1701"/>
                <w:tab w:val="clear" w:pos="2268"/>
                <w:tab w:val="clear" w:pos="2835"/>
              </w:tabs>
              <w:spacing w:before="0" w:after="0"/>
              <w:rPr>
                <w:rFonts w:cs="Arial"/>
                <w:szCs w:val="22"/>
              </w:rPr>
            </w:pPr>
          </w:p>
        </w:tc>
      </w:tr>
      <w:tr w:rsidR="009B0CEE" w:rsidRPr="00F84672" w:rsidTr="001C4A74">
        <w:trPr>
          <w:trHeight w:val="250"/>
        </w:trPr>
        <w:tc>
          <w:tcPr>
            <w:tcW w:w="9956" w:type="dxa"/>
            <w:shd w:val="clear" w:color="auto" w:fill="FFC000"/>
          </w:tcPr>
          <w:p w:rsidR="009B0CEE" w:rsidRPr="00811B52" w:rsidRDefault="009B0CEE" w:rsidP="001C4A74">
            <w:pPr>
              <w:rPr>
                <w:b/>
                <w:szCs w:val="22"/>
              </w:rPr>
            </w:pPr>
            <w:r w:rsidRPr="006F0E1F">
              <w:rPr>
                <w:rFonts w:cs="Arial"/>
                <w:b/>
                <w:szCs w:val="22"/>
              </w:rPr>
              <w:t>Section 7: Is the Inquest a Trial?</w:t>
            </w:r>
          </w:p>
        </w:tc>
      </w:tr>
      <w:tr w:rsidR="009B0CEE" w:rsidRPr="006F12DD" w:rsidTr="001C4A74">
        <w:trPr>
          <w:trHeight w:val="1985"/>
        </w:trPr>
        <w:tc>
          <w:tcPr>
            <w:tcW w:w="9956" w:type="dxa"/>
            <w:shd w:val="clear" w:color="auto" w:fill="auto"/>
          </w:tcPr>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r w:rsidRPr="006F12DD">
              <w:rPr>
                <w:rFonts w:cs="Arial"/>
                <w:szCs w:val="22"/>
              </w:rPr>
              <w:t xml:space="preserve">An Inquest produces a verdict but it is not a trial. It is a fact-finding inquiry by a Coroner, with or without a jury, into the circumstances surrounding a death. The purpose is to determine </w:t>
            </w:r>
            <w:r w:rsidRPr="006F12DD">
              <w:rPr>
                <w:rFonts w:cs="Arial"/>
                <w:b/>
                <w:szCs w:val="22"/>
              </w:rPr>
              <w:t xml:space="preserve">who </w:t>
            </w:r>
            <w:r w:rsidRPr="006F12DD">
              <w:rPr>
                <w:rFonts w:cs="Arial"/>
                <w:szCs w:val="22"/>
              </w:rPr>
              <w:t xml:space="preserve">the deceased was, </w:t>
            </w:r>
            <w:r w:rsidRPr="006F12DD">
              <w:rPr>
                <w:rFonts w:cs="Arial"/>
                <w:b/>
                <w:szCs w:val="22"/>
              </w:rPr>
              <w:t xml:space="preserve">when </w:t>
            </w:r>
            <w:r>
              <w:rPr>
                <w:rFonts w:cs="Arial"/>
                <w:szCs w:val="22"/>
              </w:rPr>
              <w:t>and</w:t>
            </w:r>
            <w:r w:rsidRPr="006F12DD">
              <w:rPr>
                <w:rFonts w:cs="Arial"/>
                <w:szCs w:val="22"/>
              </w:rPr>
              <w:t xml:space="preserve"> </w:t>
            </w:r>
            <w:r w:rsidRPr="006F12DD">
              <w:rPr>
                <w:rFonts w:cs="Arial"/>
                <w:b/>
                <w:szCs w:val="22"/>
              </w:rPr>
              <w:t>where</w:t>
            </w:r>
            <w:r w:rsidRPr="006F12DD">
              <w:rPr>
                <w:rFonts w:cs="Arial"/>
                <w:szCs w:val="22"/>
              </w:rPr>
              <w:t xml:space="preserve"> they </w:t>
            </w:r>
            <w:r>
              <w:rPr>
                <w:rFonts w:cs="Arial"/>
                <w:szCs w:val="22"/>
              </w:rPr>
              <w:t xml:space="preserve">died, and </w:t>
            </w:r>
            <w:r w:rsidRPr="006F12DD">
              <w:rPr>
                <w:rFonts w:cs="Arial"/>
                <w:b/>
                <w:szCs w:val="22"/>
              </w:rPr>
              <w:t>how</w:t>
            </w:r>
            <w:r w:rsidRPr="006F12DD">
              <w:rPr>
                <w:rFonts w:cs="Arial"/>
                <w:szCs w:val="22"/>
              </w:rPr>
              <w:t xml:space="preserve"> they came by their death.</w:t>
            </w:r>
            <w:r w:rsidRPr="006F12DD">
              <w:rPr>
                <w:rFonts w:cs="Arial"/>
                <w:b/>
                <w:szCs w:val="22"/>
              </w:rPr>
              <w:t xml:space="preserve"> </w:t>
            </w:r>
            <w:r w:rsidRPr="006F12DD">
              <w:rPr>
                <w:rFonts w:cs="Arial"/>
                <w:szCs w:val="22"/>
              </w:rPr>
              <w:t>The majority of inquests are heard by a Coroner sitting alone. Only about 4% of inquests require a jury. A jury is required in:</w:t>
            </w:r>
          </w:p>
          <w:p w:rsidR="009B0CEE" w:rsidRPr="006F12DD" w:rsidRDefault="009B0CEE" w:rsidP="001C4A74">
            <w:pPr>
              <w:pStyle w:val="BodyText"/>
              <w:spacing w:before="0" w:after="0"/>
              <w:rPr>
                <w:rFonts w:cs="Arial"/>
                <w:szCs w:val="22"/>
              </w:rPr>
            </w:pPr>
          </w:p>
          <w:p w:rsidR="009B0CEE" w:rsidRPr="006F12DD" w:rsidRDefault="009B0CEE" w:rsidP="009B0CEE">
            <w:pPr>
              <w:pStyle w:val="BodyText"/>
              <w:numPr>
                <w:ilvl w:val="0"/>
                <w:numId w:val="1"/>
              </w:numPr>
              <w:tabs>
                <w:tab w:val="clear" w:pos="567"/>
                <w:tab w:val="clear" w:pos="1134"/>
                <w:tab w:val="clear" w:pos="1701"/>
                <w:tab w:val="clear" w:pos="2268"/>
                <w:tab w:val="clear" w:pos="2835"/>
              </w:tabs>
              <w:spacing w:before="0" w:after="0"/>
              <w:ind w:left="357" w:hanging="357"/>
              <w:rPr>
                <w:rFonts w:cs="Arial"/>
                <w:szCs w:val="22"/>
              </w:rPr>
            </w:pPr>
            <w:r w:rsidRPr="006F12DD">
              <w:rPr>
                <w:rFonts w:cs="Arial"/>
                <w:szCs w:val="22"/>
              </w:rPr>
              <w:t>Any death in custody</w:t>
            </w:r>
          </w:p>
          <w:p w:rsidR="009B0CEE" w:rsidRPr="006F12DD" w:rsidRDefault="009B0CEE" w:rsidP="009B0CEE">
            <w:pPr>
              <w:pStyle w:val="BodyText"/>
              <w:numPr>
                <w:ilvl w:val="0"/>
                <w:numId w:val="1"/>
              </w:numPr>
              <w:tabs>
                <w:tab w:val="clear" w:pos="567"/>
                <w:tab w:val="clear" w:pos="1134"/>
                <w:tab w:val="clear" w:pos="1701"/>
                <w:tab w:val="clear" w:pos="2268"/>
                <w:tab w:val="clear" w:pos="2835"/>
              </w:tabs>
              <w:spacing w:before="0" w:after="0"/>
              <w:ind w:left="357" w:hanging="357"/>
              <w:rPr>
                <w:rFonts w:cs="Arial"/>
                <w:szCs w:val="22"/>
              </w:rPr>
            </w:pPr>
            <w:r w:rsidRPr="006F12DD">
              <w:rPr>
                <w:rFonts w:cs="Arial"/>
                <w:szCs w:val="22"/>
              </w:rPr>
              <w:t>Any death involving the workplace and Health and Safety executive</w:t>
            </w:r>
          </w:p>
          <w:p w:rsidR="009B0CEE" w:rsidRPr="006F12DD" w:rsidRDefault="009B0CEE" w:rsidP="009B0CEE">
            <w:pPr>
              <w:pStyle w:val="BodyText"/>
              <w:numPr>
                <w:ilvl w:val="0"/>
                <w:numId w:val="1"/>
              </w:numPr>
              <w:tabs>
                <w:tab w:val="clear" w:pos="567"/>
                <w:tab w:val="clear" w:pos="1134"/>
                <w:tab w:val="clear" w:pos="1701"/>
                <w:tab w:val="clear" w:pos="2268"/>
                <w:tab w:val="clear" w:pos="2835"/>
              </w:tabs>
              <w:spacing w:before="0" w:after="0"/>
              <w:ind w:left="357" w:hanging="357"/>
              <w:rPr>
                <w:rFonts w:cs="Arial"/>
                <w:szCs w:val="22"/>
              </w:rPr>
            </w:pPr>
            <w:r w:rsidRPr="006F12DD">
              <w:rPr>
                <w:rFonts w:cs="Arial"/>
                <w:szCs w:val="22"/>
              </w:rPr>
              <w:t>Any death on a railway line</w:t>
            </w:r>
          </w:p>
          <w:p w:rsidR="009B0CEE" w:rsidRDefault="009B0CEE" w:rsidP="009B0CEE">
            <w:pPr>
              <w:pStyle w:val="BodyText"/>
              <w:numPr>
                <w:ilvl w:val="0"/>
                <w:numId w:val="1"/>
              </w:numPr>
              <w:tabs>
                <w:tab w:val="clear" w:pos="567"/>
                <w:tab w:val="clear" w:pos="1134"/>
                <w:tab w:val="clear" w:pos="1701"/>
                <w:tab w:val="clear" w:pos="2268"/>
                <w:tab w:val="clear" w:pos="2835"/>
              </w:tabs>
              <w:spacing w:before="0" w:after="0"/>
              <w:ind w:left="357" w:hanging="357"/>
              <w:rPr>
                <w:rFonts w:cs="Arial"/>
                <w:szCs w:val="22"/>
              </w:rPr>
            </w:pPr>
            <w:r w:rsidRPr="006F12DD">
              <w:rPr>
                <w:rFonts w:cs="Arial"/>
                <w:szCs w:val="22"/>
              </w:rPr>
              <w:t>Where it would be in the public interest</w:t>
            </w:r>
          </w:p>
          <w:p w:rsidR="009B0CEE" w:rsidRPr="006F12DD" w:rsidRDefault="009B0CEE" w:rsidP="001C4A74">
            <w:pPr>
              <w:pStyle w:val="BodyText"/>
              <w:tabs>
                <w:tab w:val="clear" w:pos="567"/>
                <w:tab w:val="clear" w:pos="1134"/>
                <w:tab w:val="clear" w:pos="1701"/>
                <w:tab w:val="clear" w:pos="2268"/>
                <w:tab w:val="clear" w:pos="2835"/>
              </w:tabs>
              <w:spacing w:before="0" w:after="0"/>
              <w:ind w:left="714"/>
              <w:rPr>
                <w:rFonts w:cs="Arial"/>
                <w:szCs w:val="22"/>
              </w:rPr>
            </w:pPr>
          </w:p>
          <w:p w:rsidR="009B0CEE" w:rsidRDefault="009B0CEE" w:rsidP="001C4A74">
            <w:pPr>
              <w:pStyle w:val="BodyText"/>
              <w:tabs>
                <w:tab w:val="clear" w:pos="567"/>
                <w:tab w:val="clear" w:pos="1134"/>
                <w:tab w:val="clear" w:pos="1701"/>
                <w:tab w:val="clear" w:pos="2268"/>
                <w:tab w:val="clear" w:pos="2835"/>
              </w:tabs>
              <w:spacing w:before="0" w:after="0"/>
              <w:rPr>
                <w:rFonts w:cs="Arial"/>
                <w:szCs w:val="22"/>
              </w:rPr>
            </w:pPr>
            <w:r w:rsidRPr="006F12DD">
              <w:rPr>
                <w:rFonts w:cs="Arial"/>
                <w:szCs w:val="22"/>
              </w:rPr>
              <w:t>The inquest does not say who is responsible for a death. It is not the Coroner’s role to probe for any potential clinical negligence.  It is however quite possible that the findings of an inquest may be influential in subsequent legal action as part of the prosecution or defence.</w:t>
            </w:r>
          </w:p>
          <w:p w:rsidR="009B0CEE" w:rsidRPr="00F84672" w:rsidRDefault="009B0CEE" w:rsidP="001C4A74">
            <w:pPr>
              <w:pStyle w:val="BodyText"/>
              <w:tabs>
                <w:tab w:val="clear" w:pos="567"/>
                <w:tab w:val="clear" w:pos="1134"/>
                <w:tab w:val="clear" w:pos="1701"/>
                <w:tab w:val="clear" w:pos="2268"/>
                <w:tab w:val="clear" w:pos="2835"/>
              </w:tabs>
              <w:spacing w:before="0" w:after="0"/>
              <w:rPr>
                <w:rFonts w:cs="Arial"/>
                <w:szCs w:val="22"/>
              </w:rPr>
            </w:pPr>
          </w:p>
        </w:tc>
      </w:tr>
      <w:tr w:rsidR="009B0CEE" w:rsidRPr="00F84672" w:rsidTr="001C4A74">
        <w:trPr>
          <w:trHeight w:val="283"/>
        </w:trPr>
        <w:tc>
          <w:tcPr>
            <w:tcW w:w="9956" w:type="dxa"/>
            <w:shd w:val="clear" w:color="auto" w:fill="FFC000"/>
          </w:tcPr>
          <w:p w:rsidR="009B0CEE" w:rsidRPr="006F0E1F" w:rsidRDefault="009B0CEE" w:rsidP="001C4A74">
            <w:pPr>
              <w:rPr>
                <w:rFonts w:cs="Arial"/>
                <w:b/>
                <w:szCs w:val="22"/>
              </w:rPr>
            </w:pPr>
            <w:r w:rsidRPr="006F0E1F">
              <w:rPr>
                <w:rFonts w:cs="Arial"/>
                <w:b/>
                <w:szCs w:val="22"/>
              </w:rPr>
              <w:t>Section 8: Preparing a Report</w:t>
            </w:r>
          </w:p>
        </w:tc>
      </w:tr>
      <w:tr w:rsidR="009B0CEE" w:rsidRPr="006F12DD" w:rsidTr="001C4A74">
        <w:trPr>
          <w:trHeight w:val="1985"/>
        </w:trPr>
        <w:tc>
          <w:tcPr>
            <w:tcW w:w="9956" w:type="dxa"/>
            <w:shd w:val="clear" w:color="auto" w:fill="auto"/>
          </w:tcPr>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r w:rsidRPr="006F12DD">
              <w:rPr>
                <w:rFonts w:cs="Arial"/>
                <w:szCs w:val="22"/>
              </w:rPr>
              <w:t>An inquest statement is one example of a professional statement you may be asked to provide throughout your career. Statements may be seen by a wide group of people including:</w:t>
            </w:r>
          </w:p>
          <w:p w:rsidR="009B0CEE" w:rsidRPr="006F12DD" w:rsidRDefault="009B0CEE" w:rsidP="001C4A74">
            <w:pPr>
              <w:pStyle w:val="BodyText"/>
              <w:spacing w:before="0" w:after="0"/>
              <w:rPr>
                <w:rFonts w:cs="Arial"/>
                <w:szCs w:val="22"/>
              </w:rPr>
            </w:pPr>
          </w:p>
          <w:p w:rsidR="009B0CEE" w:rsidRPr="006F12DD" w:rsidRDefault="009B0CEE" w:rsidP="009B0CEE">
            <w:pPr>
              <w:pStyle w:val="BodyText"/>
              <w:numPr>
                <w:ilvl w:val="0"/>
                <w:numId w:val="1"/>
              </w:numPr>
              <w:tabs>
                <w:tab w:val="clear" w:pos="567"/>
                <w:tab w:val="clear" w:pos="1134"/>
                <w:tab w:val="clear" w:pos="1701"/>
                <w:tab w:val="clear" w:pos="2268"/>
                <w:tab w:val="clear" w:pos="2835"/>
              </w:tabs>
              <w:spacing w:before="0" w:after="0"/>
              <w:ind w:left="357" w:hanging="357"/>
              <w:rPr>
                <w:rFonts w:cs="Arial"/>
                <w:szCs w:val="22"/>
              </w:rPr>
            </w:pPr>
            <w:r w:rsidRPr="006F12DD">
              <w:rPr>
                <w:rFonts w:cs="Arial"/>
                <w:szCs w:val="22"/>
              </w:rPr>
              <w:t>Police</w:t>
            </w:r>
          </w:p>
          <w:p w:rsidR="009B0CEE" w:rsidRPr="006F12DD" w:rsidRDefault="009B0CEE" w:rsidP="009B0CEE">
            <w:pPr>
              <w:pStyle w:val="BodyText"/>
              <w:numPr>
                <w:ilvl w:val="0"/>
                <w:numId w:val="1"/>
              </w:numPr>
              <w:tabs>
                <w:tab w:val="clear" w:pos="567"/>
                <w:tab w:val="clear" w:pos="1134"/>
                <w:tab w:val="clear" w:pos="1701"/>
                <w:tab w:val="clear" w:pos="2268"/>
                <w:tab w:val="clear" w:pos="2835"/>
              </w:tabs>
              <w:spacing w:before="0" w:after="0"/>
              <w:ind w:left="357" w:hanging="357"/>
              <w:rPr>
                <w:rFonts w:cs="Arial"/>
                <w:szCs w:val="22"/>
              </w:rPr>
            </w:pPr>
            <w:r w:rsidRPr="006F12DD">
              <w:rPr>
                <w:rFonts w:cs="Arial"/>
                <w:szCs w:val="22"/>
              </w:rPr>
              <w:t>Coroner</w:t>
            </w:r>
          </w:p>
          <w:p w:rsidR="009B0CEE" w:rsidRPr="006F12DD" w:rsidRDefault="009B0CEE" w:rsidP="009B0CEE">
            <w:pPr>
              <w:pStyle w:val="BodyText"/>
              <w:numPr>
                <w:ilvl w:val="0"/>
                <w:numId w:val="1"/>
              </w:numPr>
              <w:tabs>
                <w:tab w:val="clear" w:pos="567"/>
                <w:tab w:val="clear" w:pos="1134"/>
                <w:tab w:val="clear" w:pos="1701"/>
                <w:tab w:val="clear" w:pos="2268"/>
                <w:tab w:val="clear" w:pos="2835"/>
              </w:tabs>
              <w:spacing w:before="0" w:after="0"/>
              <w:ind w:left="357" w:hanging="357"/>
              <w:rPr>
                <w:rFonts w:cs="Arial"/>
                <w:szCs w:val="22"/>
              </w:rPr>
            </w:pPr>
            <w:r w:rsidRPr="006F12DD">
              <w:rPr>
                <w:rFonts w:cs="Arial"/>
                <w:szCs w:val="22"/>
              </w:rPr>
              <w:t>Care Quality Commission/Health Ombudsman</w:t>
            </w:r>
          </w:p>
          <w:p w:rsidR="009B0CEE" w:rsidRPr="006F12DD" w:rsidRDefault="009B0CEE" w:rsidP="009B0CEE">
            <w:pPr>
              <w:pStyle w:val="BodyText"/>
              <w:numPr>
                <w:ilvl w:val="0"/>
                <w:numId w:val="1"/>
              </w:numPr>
              <w:tabs>
                <w:tab w:val="clear" w:pos="567"/>
                <w:tab w:val="clear" w:pos="1134"/>
                <w:tab w:val="clear" w:pos="1701"/>
                <w:tab w:val="clear" w:pos="2268"/>
                <w:tab w:val="clear" w:pos="2835"/>
              </w:tabs>
              <w:spacing w:before="0" w:after="0"/>
              <w:ind w:left="357" w:hanging="357"/>
              <w:rPr>
                <w:rFonts w:cs="Arial"/>
                <w:szCs w:val="22"/>
              </w:rPr>
            </w:pPr>
            <w:r w:rsidRPr="006F12DD">
              <w:rPr>
                <w:rFonts w:cs="Arial"/>
                <w:szCs w:val="22"/>
              </w:rPr>
              <w:t>Patients and their families</w:t>
            </w:r>
          </w:p>
          <w:p w:rsidR="009B0CEE" w:rsidRPr="006F12DD" w:rsidRDefault="009B0CEE" w:rsidP="009B0CEE">
            <w:pPr>
              <w:pStyle w:val="BodyText"/>
              <w:numPr>
                <w:ilvl w:val="0"/>
                <w:numId w:val="1"/>
              </w:numPr>
              <w:tabs>
                <w:tab w:val="clear" w:pos="567"/>
                <w:tab w:val="clear" w:pos="1134"/>
                <w:tab w:val="clear" w:pos="1701"/>
                <w:tab w:val="clear" w:pos="2268"/>
                <w:tab w:val="clear" w:pos="2835"/>
              </w:tabs>
              <w:spacing w:before="0" w:after="0"/>
              <w:ind w:left="357" w:hanging="357"/>
              <w:rPr>
                <w:rFonts w:cs="Arial"/>
                <w:szCs w:val="22"/>
              </w:rPr>
            </w:pPr>
            <w:r w:rsidRPr="006F12DD">
              <w:rPr>
                <w:rFonts w:cs="Arial"/>
                <w:szCs w:val="22"/>
              </w:rPr>
              <w:t>Solicitors and barristers</w:t>
            </w:r>
          </w:p>
          <w:p w:rsidR="009B0CEE" w:rsidRDefault="009B0CEE" w:rsidP="009B0CEE">
            <w:pPr>
              <w:pStyle w:val="BodyText"/>
              <w:numPr>
                <w:ilvl w:val="0"/>
                <w:numId w:val="1"/>
              </w:numPr>
              <w:tabs>
                <w:tab w:val="clear" w:pos="567"/>
                <w:tab w:val="clear" w:pos="1134"/>
                <w:tab w:val="clear" w:pos="1701"/>
                <w:tab w:val="clear" w:pos="2268"/>
                <w:tab w:val="clear" w:pos="2835"/>
              </w:tabs>
              <w:spacing w:before="0" w:after="0"/>
              <w:ind w:left="357" w:hanging="357"/>
              <w:rPr>
                <w:rFonts w:cs="Arial"/>
                <w:szCs w:val="22"/>
              </w:rPr>
            </w:pPr>
            <w:r w:rsidRPr="006F12DD">
              <w:rPr>
                <w:rFonts w:cs="Arial"/>
                <w:szCs w:val="22"/>
              </w:rPr>
              <w:t xml:space="preserve">Secretary of State for Health </w:t>
            </w:r>
          </w:p>
          <w:p w:rsidR="009B0CEE" w:rsidRPr="006F12DD" w:rsidRDefault="009B0CEE" w:rsidP="001C4A74">
            <w:pPr>
              <w:pStyle w:val="BodyText"/>
              <w:tabs>
                <w:tab w:val="clear" w:pos="567"/>
                <w:tab w:val="clear" w:pos="1134"/>
                <w:tab w:val="clear" w:pos="1701"/>
                <w:tab w:val="clear" w:pos="2268"/>
                <w:tab w:val="clear" w:pos="2835"/>
              </w:tabs>
              <w:spacing w:before="0" w:after="0"/>
              <w:ind w:left="714"/>
              <w:rPr>
                <w:rFonts w:cs="Arial"/>
                <w:szCs w:val="22"/>
              </w:rPr>
            </w:pPr>
          </w:p>
          <w:p w:rsidR="009B0CEE" w:rsidRDefault="009B0CEE" w:rsidP="001C4A74">
            <w:pPr>
              <w:pStyle w:val="BodyText"/>
              <w:spacing w:before="0" w:after="0"/>
              <w:rPr>
                <w:rFonts w:cs="Arial"/>
                <w:szCs w:val="22"/>
              </w:rPr>
            </w:pPr>
            <w:r w:rsidRPr="006F12DD">
              <w:rPr>
                <w:rFonts w:cs="Arial"/>
                <w:szCs w:val="22"/>
              </w:rPr>
              <w:t>It is therefore worth doing them well and knowing what is expected.</w:t>
            </w:r>
            <w:r w:rsidRPr="006F12DD">
              <w:rPr>
                <w:rFonts w:cs="Arial"/>
                <w:b/>
                <w:szCs w:val="22"/>
              </w:rPr>
              <w:t xml:space="preserve"> </w:t>
            </w:r>
            <w:r w:rsidRPr="006F12DD">
              <w:rPr>
                <w:rFonts w:cs="Arial"/>
                <w:szCs w:val="22"/>
              </w:rPr>
              <w:t>When a request is made for a report, it is important that it is provided quickly and preferably</w:t>
            </w:r>
            <w:r>
              <w:rPr>
                <w:rFonts w:cs="Arial"/>
                <w:szCs w:val="22"/>
              </w:rPr>
              <w:t xml:space="preserve"> within two weeks.  A single comprehensive statement suitable for all possible investigations is recommended.</w:t>
            </w:r>
          </w:p>
          <w:p w:rsidR="009B0CEE" w:rsidRPr="006F12DD" w:rsidRDefault="009B0CEE" w:rsidP="001C4A74">
            <w:pPr>
              <w:pStyle w:val="BodyText"/>
              <w:spacing w:before="0" w:after="0"/>
              <w:rPr>
                <w:rFonts w:cs="Arial"/>
                <w:b/>
                <w:szCs w:val="22"/>
              </w:rPr>
            </w:pPr>
          </w:p>
          <w:p w:rsidR="009B0CEE" w:rsidRPr="00660EF9" w:rsidRDefault="009B0CEE" w:rsidP="001C4A74">
            <w:pPr>
              <w:pStyle w:val="BodyText"/>
              <w:spacing w:before="0" w:after="0"/>
              <w:rPr>
                <w:rFonts w:cs="Arial"/>
                <w:b/>
                <w:i/>
                <w:szCs w:val="22"/>
              </w:rPr>
            </w:pPr>
            <w:r>
              <w:rPr>
                <w:rFonts w:cs="Arial"/>
                <w:szCs w:val="22"/>
              </w:rPr>
              <w:t xml:space="preserve">See separate guidance </w:t>
            </w:r>
            <w:r>
              <w:rPr>
                <w:rFonts w:cs="Arial"/>
                <w:i/>
                <w:szCs w:val="22"/>
              </w:rPr>
              <w:t>Writing a Statement</w:t>
            </w:r>
          </w:p>
          <w:p w:rsidR="009B0CEE" w:rsidRDefault="009B0CEE" w:rsidP="001C4A74">
            <w:pPr>
              <w:pStyle w:val="BodyText"/>
              <w:spacing w:before="0" w:after="0"/>
              <w:rPr>
                <w:rFonts w:cs="Arial"/>
                <w:b/>
                <w:szCs w:val="22"/>
              </w:rPr>
            </w:pPr>
          </w:p>
          <w:p w:rsidR="009B0CEE" w:rsidRDefault="009B0CEE" w:rsidP="001C4A74">
            <w:pPr>
              <w:pStyle w:val="BodyText"/>
              <w:spacing w:before="0" w:after="0"/>
              <w:rPr>
                <w:rFonts w:cs="Arial"/>
                <w:b/>
                <w:szCs w:val="22"/>
              </w:rPr>
            </w:pPr>
          </w:p>
          <w:p w:rsidR="009B0CEE" w:rsidRDefault="009B0CEE" w:rsidP="001C4A74">
            <w:pPr>
              <w:pStyle w:val="BodyText"/>
              <w:spacing w:before="0" w:after="0"/>
              <w:rPr>
                <w:rFonts w:cs="Arial"/>
                <w:b/>
                <w:szCs w:val="22"/>
              </w:rPr>
            </w:pPr>
          </w:p>
          <w:p w:rsidR="009B0CEE" w:rsidRDefault="009B0CEE" w:rsidP="001C4A74">
            <w:pPr>
              <w:pStyle w:val="BodyText"/>
              <w:spacing w:before="0" w:after="0"/>
              <w:rPr>
                <w:rFonts w:cs="Arial"/>
                <w:b/>
                <w:szCs w:val="22"/>
              </w:rPr>
            </w:pPr>
          </w:p>
          <w:p w:rsidR="009B0CEE" w:rsidRDefault="009B0CEE" w:rsidP="001C4A74">
            <w:pPr>
              <w:pStyle w:val="BodyText"/>
              <w:spacing w:before="0" w:after="0"/>
              <w:rPr>
                <w:rFonts w:cs="Arial"/>
                <w:b/>
                <w:szCs w:val="22"/>
              </w:rPr>
            </w:pPr>
          </w:p>
          <w:p w:rsidR="009B0CEE" w:rsidRPr="00811B52" w:rsidRDefault="009B0CEE" w:rsidP="001C4A74">
            <w:pPr>
              <w:pStyle w:val="BodyText"/>
              <w:spacing w:before="0" w:after="0"/>
              <w:rPr>
                <w:rFonts w:cs="Arial"/>
                <w:b/>
                <w:szCs w:val="22"/>
              </w:rPr>
            </w:pPr>
          </w:p>
        </w:tc>
      </w:tr>
      <w:tr w:rsidR="009B0CEE" w:rsidRPr="00F84672" w:rsidTr="001C4A74">
        <w:trPr>
          <w:trHeight w:val="283"/>
        </w:trPr>
        <w:tc>
          <w:tcPr>
            <w:tcW w:w="9956" w:type="dxa"/>
            <w:shd w:val="clear" w:color="auto" w:fill="FFC000"/>
          </w:tcPr>
          <w:p w:rsidR="009B0CEE" w:rsidRPr="001C6E3D" w:rsidRDefault="009B0CEE" w:rsidP="001C4A74">
            <w:pPr>
              <w:rPr>
                <w:b/>
                <w:szCs w:val="22"/>
              </w:rPr>
            </w:pPr>
            <w:r w:rsidRPr="006F0E1F">
              <w:rPr>
                <w:rFonts w:cs="Arial"/>
                <w:b/>
                <w:szCs w:val="22"/>
              </w:rPr>
              <w:lastRenderedPageBreak/>
              <w:t>Section 9: Giving Evidence</w:t>
            </w:r>
          </w:p>
        </w:tc>
      </w:tr>
      <w:tr w:rsidR="009B0CEE" w:rsidRPr="006F12DD" w:rsidTr="001C4A74">
        <w:trPr>
          <w:trHeight w:val="1985"/>
        </w:trPr>
        <w:tc>
          <w:tcPr>
            <w:tcW w:w="9956" w:type="dxa"/>
            <w:shd w:val="clear" w:color="auto" w:fill="auto"/>
          </w:tcPr>
          <w:p w:rsidR="009B0CEE" w:rsidRDefault="009B0CEE" w:rsidP="001C4A74">
            <w:pPr>
              <w:pStyle w:val="BodyText"/>
              <w:spacing w:before="0" w:after="0"/>
              <w:ind w:left="357"/>
              <w:rPr>
                <w:rFonts w:cs="Arial"/>
                <w:szCs w:val="22"/>
              </w:rPr>
            </w:pPr>
          </w:p>
          <w:p w:rsidR="009B0CEE" w:rsidRDefault="009B0CEE" w:rsidP="009B0CEE">
            <w:pPr>
              <w:pStyle w:val="BodyText"/>
              <w:numPr>
                <w:ilvl w:val="0"/>
                <w:numId w:val="1"/>
              </w:numPr>
              <w:spacing w:before="0" w:after="0"/>
              <w:ind w:left="0" w:firstLine="0"/>
              <w:rPr>
                <w:rFonts w:cs="Arial"/>
                <w:szCs w:val="22"/>
              </w:rPr>
            </w:pPr>
            <w:r w:rsidRPr="006F12DD">
              <w:rPr>
                <w:rFonts w:cs="Arial"/>
                <w:szCs w:val="22"/>
              </w:rPr>
              <w:t>As a witness you are not on trial, yo</w:t>
            </w:r>
            <w:r>
              <w:rPr>
                <w:rFonts w:cs="Arial"/>
                <w:szCs w:val="22"/>
              </w:rPr>
              <w:t>u are there to assist the court</w:t>
            </w:r>
          </w:p>
          <w:p w:rsidR="009B0CEE" w:rsidRDefault="009B0CEE" w:rsidP="009B0CEE">
            <w:pPr>
              <w:pStyle w:val="BodyText"/>
              <w:numPr>
                <w:ilvl w:val="0"/>
                <w:numId w:val="1"/>
              </w:numPr>
              <w:spacing w:before="0" w:after="0"/>
              <w:ind w:left="567" w:hanging="567"/>
              <w:rPr>
                <w:rFonts w:cs="Arial"/>
                <w:szCs w:val="22"/>
              </w:rPr>
            </w:pPr>
            <w:r w:rsidRPr="00124A9C">
              <w:rPr>
                <w:rFonts w:cs="Arial"/>
                <w:szCs w:val="22"/>
              </w:rPr>
              <w:t>The Coroner decides which witnesses should attend, and in what order they are called. Normally they will hear the family’s evidence first, followed by the pathologist, then the treating clinicians/staff in chronological order</w:t>
            </w:r>
          </w:p>
          <w:p w:rsidR="009B0CEE" w:rsidRDefault="009B0CEE" w:rsidP="009B0CEE">
            <w:pPr>
              <w:pStyle w:val="BodyText"/>
              <w:numPr>
                <w:ilvl w:val="0"/>
                <w:numId w:val="1"/>
              </w:numPr>
              <w:spacing w:before="0" w:after="0"/>
              <w:ind w:left="567" w:hanging="567"/>
              <w:rPr>
                <w:rFonts w:cs="Arial"/>
                <w:szCs w:val="22"/>
              </w:rPr>
            </w:pPr>
            <w:r w:rsidRPr="00124A9C">
              <w:rPr>
                <w:rFonts w:cs="Arial"/>
                <w:szCs w:val="22"/>
              </w:rPr>
              <w:t>A witness must attend; you will normally receive a formal summons (subpoena). If you do not attend you may be fined</w:t>
            </w:r>
          </w:p>
          <w:p w:rsidR="009B0CEE" w:rsidRDefault="009B0CEE" w:rsidP="009B0CEE">
            <w:pPr>
              <w:pStyle w:val="BodyText"/>
              <w:numPr>
                <w:ilvl w:val="0"/>
                <w:numId w:val="1"/>
              </w:numPr>
              <w:spacing w:before="0" w:after="0"/>
              <w:ind w:left="0" w:firstLine="0"/>
              <w:rPr>
                <w:rFonts w:cs="Arial"/>
                <w:szCs w:val="22"/>
              </w:rPr>
            </w:pPr>
            <w:r w:rsidRPr="00124A9C">
              <w:rPr>
                <w:rFonts w:cs="Arial"/>
                <w:szCs w:val="22"/>
              </w:rPr>
              <w:t>Arrive in good time, usually hospital staff will travel together from the hospital</w:t>
            </w:r>
          </w:p>
          <w:p w:rsidR="009B0CEE" w:rsidRDefault="009B0CEE" w:rsidP="009B0CEE">
            <w:pPr>
              <w:pStyle w:val="BodyText"/>
              <w:numPr>
                <w:ilvl w:val="0"/>
                <w:numId w:val="1"/>
              </w:numPr>
              <w:spacing w:before="0" w:after="0"/>
              <w:ind w:left="0" w:firstLine="0"/>
              <w:rPr>
                <w:rFonts w:cs="Arial"/>
                <w:szCs w:val="22"/>
              </w:rPr>
            </w:pPr>
            <w:r w:rsidRPr="00124A9C">
              <w:rPr>
                <w:rFonts w:cs="Arial"/>
                <w:szCs w:val="22"/>
              </w:rPr>
              <w:t>Dress appropriately (as if attending for a job interview)</w:t>
            </w:r>
          </w:p>
          <w:p w:rsidR="009B0CEE" w:rsidRDefault="009B0CEE" w:rsidP="009B0CEE">
            <w:pPr>
              <w:pStyle w:val="BodyText"/>
              <w:numPr>
                <w:ilvl w:val="0"/>
                <w:numId w:val="1"/>
              </w:numPr>
              <w:spacing w:before="0" w:after="0"/>
              <w:ind w:left="0" w:firstLine="0"/>
              <w:rPr>
                <w:rFonts w:cs="Arial"/>
                <w:szCs w:val="22"/>
              </w:rPr>
            </w:pPr>
            <w:r w:rsidRPr="00124A9C">
              <w:rPr>
                <w:rFonts w:cs="Arial"/>
                <w:szCs w:val="22"/>
              </w:rPr>
              <w:t>The Coroner is addressed as Sir or Ma’am</w:t>
            </w:r>
          </w:p>
          <w:p w:rsidR="009B0CEE" w:rsidRPr="00124A9C" w:rsidRDefault="009B0CEE" w:rsidP="009B0CEE">
            <w:pPr>
              <w:pStyle w:val="BodyText"/>
              <w:numPr>
                <w:ilvl w:val="0"/>
                <w:numId w:val="1"/>
              </w:numPr>
              <w:spacing w:before="0" w:after="0"/>
              <w:ind w:left="0" w:firstLine="0"/>
              <w:rPr>
                <w:rFonts w:cs="Arial"/>
                <w:szCs w:val="22"/>
              </w:rPr>
            </w:pPr>
            <w:r w:rsidRPr="00124A9C">
              <w:rPr>
                <w:rFonts w:cs="Arial"/>
                <w:szCs w:val="22"/>
              </w:rPr>
              <w:t>Remember to turn off mobiles/bleeps</w:t>
            </w:r>
          </w:p>
          <w:p w:rsidR="009B0CEE" w:rsidRDefault="009B0CEE" w:rsidP="009B0CEE">
            <w:pPr>
              <w:pStyle w:val="BodyText"/>
              <w:numPr>
                <w:ilvl w:val="0"/>
                <w:numId w:val="1"/>
              </w:numPr>
              <w:spacing w:before="0" w:after="0"/>
              <w:ind w:left="357" w:hanging="357"/>
              <w:rPr>
                <w:rFonts w:cs="Arial"/>
                <w:szCs w:val="22"/>
              </w:rPr>
            </w:pPr>
            <w:r w:rsidRPr="006F12DD">
              <w:rPr>
                <w:rFonts w:cs="Arial"/>
                <w:szCs w:val="22"/>
              </w:rPr>
              <w:t>Witnesses read their statements under oath, you will be asked which oath you wish to use</w:t>
            </w:r>
          </w:p>
          <w:p w:rsidR="009B0CEE" w:rsidRDefault="009B0CEE" w:rsidP="009B0CEE">
            <w:pPr>
              <w:pStyle w:val="BodyText"/>
              <w:numPr>
                <w:ilvl w:val="0"/>
                <w:numId w:val="1"/>
              </w:numPr>
              <w:spacing w:before="0" w:after="0"/>
              <w:ind w:left="357" w:hanging="357"/>
              <w:rPr>
                <w:rFonts w:cs="Arial"/>
                <w:szCs w:val="22"/>
              </w:rPr>
            </w:pPr>
            <w:r w:rsidRPr="00124A9C">
              <w:rPr>
                <w:rFonts w:cs="Arial"/>
                <w:szCs w:val="22"/>
              </w:rPr>
              <w:t>There is usually a seat in the witness box</w:t>
            </w:r>
          </w:p>
          <w:p w:rsidR="009B0CEE" w:rsidRDefault="009B0CEE" w:rsidP="009B0CEE">
            <w:pPr>
              <w:pStyle w:val="BodyText"/>
              <w:numPr>
                <w:ilvl w:val="0"/>
                <w:numId w:val="1"/>
              </w:numPr>
              <w:spacing w:before="0" w:after="0"/>
              <w:ind w:left="357" w:hanging="357"/>
              <w:rPr>
                <w:rFonts w:cs="Arial"/>
                <w:szCs w:val="22"/>
              </w:rPr>
            </w:pPr>
            <w:r w:rsidRPr="00124A9C">
              <w:rPr>
                <w:rFonts w:cs="Arial"/>
                <w:szCs w:val="22"/>
              </w:rPr>
              <w:t>The Coroner asks questions during and after hearing their statement to clarify details</w:t>
            </w:r>
          </w:p>
          <w:p w:rsidR="009B0CEE" w:rsidRDefault="009B0CEE" w:rsidP="009B0CEE">
            <w:pPr>
              <w:pStyle w:val="BodyText"/>
              <w:numPr>
                <w:ilvl w:val="0"/>
                <w:numId w:val="1"/>
              </w:numPr>
              <w:spacing w:before="0" w:after="0"/>
              <w:ind w:left="567" w:hanging="567"/>
              <w:rPr>
                <w:rFonts w:cs="Arial"/>
                <w:szCs w:val="22"/>
              </w:rPr>
            </w:pPr>
            <w:r w:rsidRPr="00124A9C">
              <w:rPr>
                <w:rFonts w:cs="Arial"/>
                <w:szCs w:val="22"/>
              </w:rPr>
              <w:t xml:space="preserve">After the Coroner, the family or their legal representative can ask questions. The Coroner will ensure that no inappropriate questions or challenges are made. Cross examination of witnesses </w:t>
            </w:r>
            <w:r>
              <w:rPr>
                <w:rFonts w:cs="Arial"/>
                <w:szCs w:val="22"/>
              </w:rPr>
              <w:t>is</w:t>
            </w:r>
            <w:r w:rsidRPr="00124A9C">
              <w:rPr>
                <w:rFonts w:cs="Arial"/>
                <w:szCs w:val="22"/>
              </w:rPr>
              <w:t xml:space="preserve"> not allowed. In some circumstances the Coroner will make a witness aware that they do not need to answer a question that could incriminate them</w:t>
            </w:r>
            <w:r>
              <w:rPr>
                <w:rFonts w:cs="Arial"/>
                <w:szCs w:val="22"/>
              </w:rPr>
              <w:t>.</w:t>
            </w:r>
          </w:p>
          <w:p w:rsidR="009B0CEE" w:rsidRPr="0002204B" w:rsidRDefault="009B0CEE" w:rsidP="001C4A74">
            <w:pPr>
              <w:pStyle w:val="BodyText"/>
              <w:spacing w:before="0" w:after="0"/>
              <w:rPr>
                <w:rFonts w:cs="Arial"/>
                <w:szCs w:val="22"/>
              </w:rPr>
            </w:pPr>
          </w:p>
        </w:tc>
      </w:tr>
      <w:tr w:rsidR="009B0CEE" w:rsidRPr="00F84672" w:rsidTr="001C4A74">
        <w:trPr>
          <w:trHeight w:val="283"/>
        </w:trPr>
        <w:tc>
          <w:tcPr>
            <w:tcW w:w="9956" w:type="dxa"/>
            <w:shd w:val="clear" w:color="auto" w:fill="FFC000"/>
          </w:tcPr>
          <w:p w:rsidR="009B0CEE" w:rsidRPr="00F84672" w:rsidRDefault="009B0CEE" w:rsidP="001C4A74">
            <w:pPr>
              <w:rPr>
                <w:b/>
                <w:bCs/>
                <w:szCs w:val="22"/>
              </w:rPr>
            </w:pPr>
            <w:r w:rsidRPr="006F0E1F">
              <w:rPr>
                <w:rFonts w:cs="Arial"/>
                <w:b/>
                <w:szCs w:val="22"/>
              </w:rPr>
              <w:t>Section 10: Being a Good Witness</w:t>
            </w:r>
          </w:p>
        </w:tc>
      </w:tr>
      <w:tr w:rsidR="009B0CEE" w:rsidRPr="006F12DD" w:rsidTr="001C4A74">
        <w:trPr>
          <w:trHeight w:val="1985"/>
        </w:trPr>
        <w:tc>
          <w:tcPr>
            <w:tcW w:w="9956" w:type="dxa"/>
            <w:shd w:val="clear" w:color="auto" w:fill="auto"/>
          </w:tcPr>
          <w:p w:rsidR="009B0CEE" w:rsidRDefault="009B0CEE" w:rsidP="001C4A74">
            <w:pPr>
              <w:pStyle w:val="BodyText"/>
              <w:spacing w:before="0" w:after="0"/>
              <w:ind w:left="357"/>
              <w:rPr>
                <w:rFonts w:cs="Arial"/>
                <w:szCs w:val="22"/>
              </w:rPr>
            </w:pPr>
          </w:p>
          <w:p w:rsidR="009B0CEE" w:rsidRPr="006F12DD" w:rsidRDefault="009B0CEE" w:rsidP="009B0CEE">
            <w:pPr>
              <w:pStyle w:val="BodyText"/>
              <w:numPr>
                <w:ilvl w:val="0"/>
                <w:numId w:val="1"/>
              </w:numPr>
              <w:spacing w:before="0" w:after="0"/>
              <w:ind w:left="567" w:hanging="567"/>
              <w:rPr>
                <w:rFonts w:cs="Arial"/>
                <w:szCs w:val="22"/>
              </w:rPr>
            </w:pPr>
            <w:r>
              <w:rPr>
                <w:rFonts w:cs="Arial"/>
                <w:szCs w:val="22"/>
              </w:rPr>
              <w:t>T</w:t>
            </w:r>
            <w:r w:rsidRPr="006F12DD">
              <w:rPr>
                <w:rFonts w:cs="Arial"/>
                <w:szCs w:val="22"/>
              </w:rPr>
              <w:t>he proceedings in the Coroner’s Court are taped, and it is important that the witness’ replies are audible</w:t>
            </w: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Concentrate on answering the question as it has been asked</w:t>
            </w: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Avoid medical jargon that the family may not understand</w:t>
            </w:r>
          </w:p>
          <w:p w:rsidR="009B0CEE" w:rsidRPr="006F12DD" w:rsidRDefault="009B0CEE" w:rsidP="009B0CEE">
            <w:pPr>
              <w:pStyle w:val="BodyText"/>
              <w:numPr>
                <w:ilvl w:val="0"/>
                <w:numId w:val="1"/>
              </w:numPr>
              <w:spacing w:before="0" w:after="0"/>
              <w:ind w:left="567" w:hanging="567"/>
              <w:rPr>
                <w:rFonts w:cs="Arial"/>
                <w:szCs w:val="22"/>
              </w:rPr>
            </w:pPr>
            <w:r w:rsidRPr="006F12DD">
              <w:rPr>
                <w:rFonts w:cs="Arial"/>
                <w:szCs w:val="22"/>
              </w:rPr>
              <w:t>Prepare adequately – re-familiarise yourself with your statement, the medical records and any other relevant documents (policies). It is important for witness to have all the clinical facts at their fingertips. Muddled thinking or speaking or shuffling of papers always gives a bad impression. The gap between the event and the inquest can be a long one – sometimes more than a year</w:t>
            </w:r>
          </w:p>
          <w:p w:rsidR="009B0CEE" w:rsidRPr="006F12DD" w:rsidRDefault="009B0CEE" w:rsidP="009B0CEE">
            <w:pPr>
              <w:pStyle w:val="BodyText"/>
              <w:numPr>
                <w:ilvl w:val="0"/>
                <w:numId w:val="1"/>
              </w:numPr>
              <w:spacing w:before="0" w:after="0"/>
              <w:ind w:left="567" w:hanging="567"/>
              <w:rPr>
                <w:rFonts w:cs="Arial"/>
                <w:szCs w:val="22"/>
              </w:rPr>
            </w:pPr>
            <w:r w:rsidRPr="006F12DD">
              <w:rPr>
                <w:rFonts w:cs="Arial"/>
                <w:szCs w:val="22"/>
              </w:rPr>
              <w:t>In the box take your time, concentrate, speak clearly and slowly. Be honest, reasonable, courteous, helpful, professional and caring!</w:t>
            </w:r>
          </w:p>
          <w:p w:rsidR="009B0CEE" w:rsidRPr="006F12DD" w:rsidRDefault="009B0CEE" w:rsidP="009B0CEE">
            <w:pPr>
              <w:pStyle w:val="BodyText"/>
              <w:numPr>
                <w:ilvl w:val="0"/>
                <w:numId w:val="1"/>
              </w:numPr>
              <w:spacing w:before="0" w:after="0"/>
              <w:ind w:left="567" w:hanging="567"/>
              <w:rPr>
                <w:rFonts w:cs="Arial"/>
                <w:szCs w:val="22"/>
              </w:rPr>
            </w:pPr>
            <w:r w:rsidRPr="006F12DD">
              <w:rPr>
                <w:rFonts w:cs="Arial"/>
                <w:szCs w:val="22"/>
              </w:rPr>
              <w:t xml:space="preserve">Don’t try to predict the question, evade the question, guess/fabricate, react/retaliate; don’t be clever, arrogant or argumentative. </w:t>
            </w:r>
          </w:p>
          <w:p w:rsidR="009B0CEE" w:rsidRPr="006F12DD" w:rsidRDefault="009B0CEE" w:rsidP="009B0CEE">
            <w:pPr>
              <w:pStyle w:val="BodyText"/>
              <w:numPr>
                <w:ilvl w:val="0"/>
                <w:numId w:val="1"/>
              </w:numPr>
              <w:spacing w:before="0" w:after="0"/>
              <w:ind w:left="567" w:hanging="567"/>
              <w:rPr>
                <w:rFonts w:cs="Arial"/>
                <w:szCs w:val="22"/>
              </w:rPr>
            </w:pPr>
            <w:r w:rsidRPr="004B2F48">
              <w:rPr>
                <w:rFonts w:cs="Arial"/>
                <w:szCs w:val="22"/>
              </w:rPr>
              <w:t>Never</w:t>
            </w:r>
            <w:r w:rsidRPr="006F12DD">
              <w:rPr>
                <w:rFonts w:cs="Arial"/>
                <w:b/>
                <w:szCs w:val="22"/>
              </w:rPr>
              <w:t xml:space="preserve"> </w:t>
            </w:r>
            <w:r w:rsidRPr="006F12DD">
              <w:rPr>
                <w:rFonts w:cs="Arial"/>
                <w:szCs w:val="22"/>
              </w:rPr>
              <w:t>argue with the family or their legal representative. You may be correct but you will be viewed as an unreliable witness by the Coroner.</w:t>
            </w: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If you do not understand the question say so</w:t>
            </w:r>
          </w:p>
          <w:p w:rsidR="009B0CEE" w:rsidRPr="006F12DD" w:rsidRDefault="009B0CEE" w:rsidP="009B0CEE">
            <w:pPr>
              <w:pStyle w:val="BodyText"/>
              <w:numPr>
                <w:ilvl w:val="0"/>
                <w:numId w:val="1"/>
              </w:numPr>
              <w:spacing w:before="0" w:after="0"/>
              <w:ind w:left="567" w:hanging="567"/>
              <w:rPr>
                <w:rFonts w:cs="Arial"/>
                <w:szCs w:val="22"/>
              </w:rPr>
            </w:pPr>
            <w:r w:rsidRPr="006F12DD">
              <w:rPr>
                <w:rFonts w:cs="Arial"/>
                <w:szCs w:val="22"/>
              </w:rPr>
              <w:t>Take your time, tell the story as it was, explain your answer and answer the question, not any agenda</w:t>
            </w:r>
          </w:p>
          <w:p w:rsidR="009B0CEE" w:rsidRPr="006F12DD" w:rsidRDefault="009B0CEE" w:rsidP="009B0CEE">
            <w:pPr>
              <w:pStyle w:val="BodyText"/>
              <w:numPr>
                <w:ilvl w:val="0"/>
                <w:numId w:val="1"/>
              </w:numPr>
              <w:spacing w:before="0" w:after="0"/>
              <w:ind w:left="567" w:hanging="567"/>
              <w:rPr>
                <w:rFonts w:cs="Arial"/>
                <w:szCs w:val="22"/>
              </w:rPr>
            </w:pPr>
            <w:r w:rsidRPr="006F12DD">
              <w:rPr>
                <w:rFonts w:cs="Arial"/>
                <w:szCs w:val="22"/>
              </w:rPr>
              <w:t>If asked a question in a confrontational manner, do not become defensive, answer as fully and simply as possible</w:t>
            </w: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Acknowledge the family at the inquest. The inquest will be stres</w:t>
            </w:r>
            <w:r>
              <w:rPr>
                <w:rFonts w:cs="Arial"/>
                <w:szCs w:val="22"/>
              </w:rPr>
              <w:t xml:space="preserve">sful and upsetting for them </w:t>
            </w:r>
          </w:p>
          <w:p w:rsidR="009B0CEE" w:rsidRDefault="009B0CEE" w:rsidP="009B0CEE">
            <w:pPr>
              <w:pStyle w:val="BodyText"/>
              <w:numPr>
                <w:ilvl w:val="0"/>
                <w:numId w:val="1"/>
              </w:numPr>
              <w:spacing w:before="0" w:after="0"/>
              <w:ind w:left="567" w:hanging="567"/>
              <w:rPr>
                <w:rFonts w:cs="Arial"/>
                <w:szCs w:val="22"/>
              </w:rPr>
            </w:pPr>
            <w:r w:rsidRPr="006F12DD">
              <w:rPr>
                <w:rFonts w:cs="Arial"/>
                <w:szCs w:val="22"/>
              </w:rPr>
              <w:t>If your evidence is complex or difficult to explain, consider the use of props (equipment) or diagrams. This can be discussed at a pre-inquest meeting.</w:t>
            </w:r>
          </w:p>
          <w:p w:rsidR="009B0CEE" w:rsidRPr="0002204B" w:rsidRDefault="009B0CEE" w:rsidP="001C4A74">
            <w:pPr>
              <w:pStyle w:val="BodyText"/>
              <w:spacing w:before="0" w:after="0"/>
              <w:rPr>
                <w:rFonts w:cs="Arial"/>
                <w:szCs w:val="22"/>
              </w:rPr>
            </w:pPr>
          </w:p>
        </w:tc>
      </w:tr>
      <w:tr w:rsidR="009B0CEE" w:rsidRPr="00F84672" w:rsidTr="001C4A74">
        <w:trPr>
          <w:trHeight w:val="283"/>
        </w:trPr>
        <w:tc>
          <w:tcPr>
            <w:tcW w:w="9956" w:type="dxa"/>
            <w:shd w:val="clear" w:color="auto" w:fill="FFC000"/>
          </w:tcPr>
          <w:p w:rsidR="009B0CEE" w:rsidRPr="00F84672" w:rsidRDefault="009B0CEE" w:rsidP="001C4A74">
            <w:pPr>
              <w:rPr>
                <w:b/>
                <w:bCs/>
                <w:szCs w:val="22"/>
              </w:rPr>
            </w:pPr>
            <w:r w:rsidRPr="006F0E1F">
              <w:rPr>
                <w:rFonts w:cs="Arial"/>
                <w:b/>
                <w:szCs w:val="22"/>
              </w:rPr>
              <w:t>Section 11: Court Day Checklist</w:t>
            </w:r>
          </w:p>
        </w:tc>
      </w:tr>
      <w:tr w:rsidR="009B0CEE" w:rsidRPr="006F12DD" w:rsidTr="001C4A74">
        <w:trPr>
          <w:trHeight w:val="964"/>
        </w:trPr>
        <w:tc>
          <w:tcPr>
            <w:tcW w:w="9956" w:type="dxa"/>
            <w:shd w:val="clear" w:color="auto" w:fill="auto"/>
          </w:tcPr>
          <w:p w:rsidR="009B0CEE" w:rsidRDefault="009B0CEE" w:rsidP="001C4A74">
            <w:pPr>
              <w:pStyle w:val="BodyText"/>
              <w:spacing w:before="0" w:after="0"/>
              <w:ind w:left="714"/>
              <w:rPr>
                <w:rFonts w:cs="Arial"/>
                <w:szCs w:val="22"/>
              </w:rPr>
            </w:pP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Childcare (if required)</w:t>
            </w: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Cover your clinical duties, inform your clinical supervisor</w:t>
            </w: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Travel arrangements, most Trusts</w:t>
            </w:r>
            <w:r>
              <w:rPr>
                <w:rFonts w:cs="Arial"/>
                <w:szCs w:val="22"/>
              </w:rPr>
              <w:t>/providers</w:t>
            </w:r>
            <w:r w:rsidRPr="006F12DD">
              <w:rPr>
                <w:rFonts w:cs="Arial"/>
                <w:szCs w:val="22"/>
              </w:rPr>
              <w:t xml:space="preserve"> will take all involved staff to court together</w:t>
            </w:r>
          </w:p>
          <w:p w:rsidR="009B0CEE" w:rsidRPr="006F12DD" w:rsidRDefault="009B0CEE" w:rsidP="009B0CEE">
            <w:pPr>
              <w:pStyle w:val="BodyText"/>
              <w:numPr>
                <w:ilvl w:val="0"/>
                <w:numId w:val="1"/>
              </w:numPr>
              <w:spacing w:before="0" w:after="0"/>
              <w:ind w:left="567" w:hanging="567"/>
              <w:rPr>
                <w:rFonts w:cs="Arial"/>
                <w:szCs w:val="22"/>
              </w:rPr>
            </w:pPr>
            <w:r w:rsidRPr="006F12DD">
              <w:rPr>
                <w:rFonts w:cs="Arial"/>
                <w:szCs w:val="22"/>
              </w:rPr>
              <w:t xml:space="preserve">If you are travelling alone courts rarely have car parks for witnesses. Allow plenty of time to find somewhere to park and have change for the meter. </w:t>
            </w:r>
          </w:p>
          <w:p w:rsidR="009B0CEE" w:rsidRPr="006F12DD" w:rsidRDefault="009B0CEE" w:rsidP="009B0CEE">
            <w:pPr>
              <w:pStyle w:val="BodyText"/>
              <w:numPr>
                <w:ilvl w:val="0"/>
                <w:numId w:val="1"/>
              </w:numPr>
              <w:spacing w:before="0" w:after="0"/>
              <w:ind w:left="567" w:hanging="567"/>
              <w:rPr>
                <w:rFonts w:cs="Arial"/>
                <w:szCs w:val="22"/>
              </w:rPr>
            </w:pPr>
            <w:r w:rsidRPr="006F12DD">
              <w:rPr>
                <w:rFonts w:cs="Arial"/>
                <w:szCs w:val="22"/>
              </w:rPr>
              <w:t>If travelling with a colleague have a contingency plan for getting home in case you are giving  evidence at very different times</w:t>
            </w: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Have you got a copy of your statement</w:t>
            </w:r>
            <w:r>
              <w:rPr>
                <w:rFonts w:cs="Arial"/>
                <w:szCs w:val="22"/>
              </w:rPr>
              <w:t>?</w:t>
            </w:r>
          </w:p>
          <w:p w:rsidR="009B0CEE" w:rsidRDefault="009B0CEE" w:rsidP="009B0CEE">
            <w:pPr>
              <w:pStyle w:val="BodyText"/>
              <w:numPr>
                <w:ilvl w:val="0"/>
                <w:numId w:val="1"/>
              </w:numPr>
              <w:spacing w:before="0" w:after="0"/>
              <w:ind w:left="567" w:hanging="567"/>
              <w:rPr>
                <w:rFonts w:cs="Arial"/>
                <w:szCs w:val="22"/>
              </w:rPr>
            </w:pPr>
            <w:r w:rsidRPr="006F12DD">
              <w:rPr>
                <w:rFonts w:cs="Arial"/>
                <w:szCs w:val="22"/>
              </w:rPr>
              <w:t>Dress code; view it as a job interview. Men jacket/tie or suit, women suit or shirt/skirt</w:t>
            </w:r>
            <w:r>
              <w:rPr>
                <w:rFonts w:cs="Arial"/>
                <w:szCs w:val="22"/>
              </w:rPr>
              <w:t>.</w:t>
            </w:r>
          </w:p>
          <w:p w:rsidR="009B0CEE" w:rsidRPr="0002204B" w:rsidRDefault="009B0CEE" w:rsidP="001C4A74">
            <w:pPr>
              <w:pStyle w:val="BodyText"/>
              <w:spacing w:before="0" w:after="0"/>
              <w:rPr>
                <w:rFonts w:cs="Arial"/>
                <w:szCs w:val="22"/>
              </w:rPr>
            </w:pPr>
          </w:p>
        </w:tc>
      </w:tr>
      <w:tr w:rsidR="009B0CEE" w:rsidRPr="00F84672" w:rsidTr="001C4A74">
        <w:trPr>
          <w:trHeight w:val="283"/>
        </w:trPr>
        <w:tc>
          <w:tcPr>
            <w:tcW w:w="9956" w:type="dxa"/>
            <w:shd w:val="clear" w:color="auto" w:fill="FFC000"/>
          </w:tcPr>
          <w:p w:rsidR="009B0CEE" w:rsidRPr="00F84672" w:rsidRDefault="009B0CEE" w:rsidP="001C4A74">
            <w:pPr>
              <w:rPr>
                <w:b/>
                <w:bCs/>
                <w:szCs w:val="22"/>
              </w:rPr>
            </w:pPr>
            <w:r w:rsidRPr="006F0E1F">
              <w:rPr>
                <w:rFonts w:cs="Arial"/>
                <w:b/>
                <w:szCs w:val="22"/>
              </w:rPr>
              <w:t>Section 12: After Giving Evidence</w:t>
            </w:r>
          </w:p>
        </w:tc>
      </w:tr>
      <w:tr w:rsidR="009B0CEE" w:rsidRPr="006F12DD" w:rsidTr="001C4A74">
        <w:trPr>
          <w:trHeight w:val="1985"/>
        </w:trPr>
        <w:tc>
          <w:tcPr>
            <w:tcW w:w="9956" w:type="dxa"/>
            <w:shd w:val="clear" w:color="auto" w:fill="auto"/>
          </w:tcPr>
          <w:p w:rsidR="009B0CEE" w:rsidRDefault="009B0CEE" w:rsidP="001C4A74">
            <w:pPr>
              <w:pStyle w:val="BodyText"/>
              <w:spacing w:before="0" w:after="0"/>
              <w:rPr>
                <w:rFonts w:cs="Arial"/>
                <w:szCs w:val="22"/>
              </w:rPr>
            </w:pPr>
          </w:p>
          <w:p w:rsidR="009B0CEE" w:rsidRPr="006F12DD" w:rsidRDefault="009B0CEE" w:rsidP="009B0CEE">
            <w:pPr>
              <w:pStyle w:val="BodyText"/>
              <w:numPr>
                <w:ilvl w:val="0"/>
                <w:numId w:val="1"/>
              </w:numPr>
              <w:spacing w:before="0" w:after="0"/>
              <w:ind w:left="567" w:hanging="567"/>
              <w:rPr>
                <w:rFonts w:cs="Arial"/>
                <w:szCs w:val="22"/>
              </w:rPr>
            </w:pPr>
            <w:r w:rsidRPr="006F12DD">
              <w:rPr>
                <w:rFonts w:cs="Arial"/>
                <w:szCs w:val="22"/>
              </w:rPr>
              <w:t>You are normally free to leave after you have completed giving evidence. You are free to stay to the conclusion to hear the conclusion and verdict, you may find this helpful</w:t>
            </w:r>
          </w:p>
          <w:p w:rsidR="009B0CEE" w:rsidRPr="006F12DD" w:rsidRDefault="009B0CEE" w:rsidP="009B0CEE">
            <w:pPr>
              <w:pStyle w:val="BodyText"/>
              <w:numPr>
                <w:ilvl w:val="0"/>
                <w:numId w:val="1"/>
              </w:numPr>
              <w:spacing w:before="0" w:after="0"/>
              <w:ind w:left="567" w:hanging="567"/>
              <w:rPr>
                <w:rFonts w:cs="Arial"/>
                <w:szCs w:val="22"/>
              </w:rPr>
            </w:pPr>
            <w:r w:rsidRPr="006F12DD">
              <w:rPr>
                <w:rFonts w:cs="Arial"/>
                <w:szCs w:val="22"/>
              </w:rPr>
              <w:t>If the Coroner makes recommendations in relation to his findings, you may wish to reflect on how this will influence your practice.</w:t>
            </w:r>
          </w:p>
          <w:p w:rsidR="009B0CEE" w:rsidRPr="006F12DD" w:rsidRDefault="009B0CEE" w:rsidP="009B0CEE">
            <w:pPr>
              <w:pStyle w:val="BodyText"/>
              <w:numPr>
                <w:ilvl w:val="0"/>
                <w:numId w:val="1"/>
              </w:numPr>
              <w:spacing w:before="0" w:after="0"/>
              <w:ind w:left="567" w:hanging="567"/>
              <w:rPr>
                <w:rFonts w:cs="Arial"/>
                <w:szCs w:val="22"/>
              </w:rPr>
            </w:pPr>
            <w:r w:rsidRPr="006F12DD">
              <w:rPr>
                <w:rFonts w:cs="Arial"/>
                <w:szCs w:val="22"/>
              </w:rPr>
              <w:t>After court you may feel tired</w:t>
            </w:r>
            <w:r>
              <w:rPr>
                <w:rFonts w:cs="Arial"/>
                <w:szCs w:val="22"/>
              </w:rPr>
              <w:t xml:space="preserve"> and emotionally drained. Most T</w:t>
            </w:r>
            <w:r w:rsidRPr="006F12DD">
              <w:rPr>
                <w:rFonts w:cs="Arial"/>
                <w:szCs w:val="22"/>
              </w:rPr>
              <w:t>rusts</w:t>
            </w:r>
            <w:r>
              <w:rPr>
                <w:rFonts w:cs="Arial"/>
                <w:szCs w:val="22"/>
              </w:rPr>
              <w:t>/providers</w:t>
            </w:r>
            <w:r w:rsidRPr="006F12DD">
              <w:rPr>
                <w:rFonts w:cs="Arial"/>
                <w:szCs w:val="22"/>
              </w:rPr>
              <w:t xml:space="preserve"> will not expect you to return to work after giving evidence</w:t>
            </w:r>
          </w:p>
          <w:p w:rsidR="009B0CEE" w:rsidRPr="006F12DD" w:rsidRDefault="009B0CEE" w:rsidP="009B0CEE">
            <w:pPr>
              <w:pStyle w:val="BodyText"/>
              <w:numPr>
                <w:ilvl w:val="0"/>
                <w:numId w:val="1"/>
              </w:numPr>
              <w:spacing w:before="0" w:after="0"/>
              <w:ind w:left="357" w:hanging="357"/>
              <w:rPr>
                <w:rFonts w:cs="Arial"/>
                <w:szCs w:val="22"/>
              </w:rPr>
            </w:pPr>
            <w:r>
              <w:rPr>
                <w:rFonts w:cs="Arial"/>
                <w:szCs w:val="22"/>
              </w:rPr>
              <w:t xml:space="preserve">You may wish to offer </w:t>
            </w:r>
            <w:proofErr w:type="gramStart"/>
            <w:r>
              <w:rPr>
                <w:rFonts w:cs="Arial"/>
                <w:szCs w:val="22"/>
              </w:rPr>
              <w:t>a de</w:t>
            </w:r>
            <w:r w:rsidRPr="006F12DD">
              <w:rPr>
                <w:rFonts w:cs="Arial"/>
                <w:szCs w:val="22"/>
              </w:rPr>
              <w:t>brief</w:t>
            </w:r>
            <w:proofErr w:type="gramEnd"/>
            <w:r w:rsidRPr="006F12DD">
              <w:rPr>
                <w:rFonts w:cs="Arial"/>
                <w:szCs w:val="22"/>
              </w:rPr>
              <w:t xml:space="preserve"> after court. This can norm</w:t>
            </w:r>
            <w:r>
              <w:rPr>
                <w:rFonts w:cs="Arial"/>
                <w:szCs w:val="22"/>
              </w:rPr>
              <w:t>ally be organised through your employer</w:t>
            </w:r>
          </w:p>
          <w:p w:rsidR="009B0CEE" w:rsidRPr="006F12DD" w:rsidRDefault="009B0CEE" w:rsidP="009B0CEE">
            <w:pPr>
              <w:pStyle w:val="BodyText"/>
              <w:numPr>
                <w:ilvl w:val="0"/>
                <w:numId w:val="1"/>
              </w:numPr>
              <w:spacing w:before="0" w:after="0"/>
              <w:ind w:left="567" w:hanging="567"/>
              <w:rPr>
                <w:rFonts w:cs="Arial"/>
                <w:szCs w:val="22"/>
              </w:rPr>
            </w:pPr>
            <w:r w:rsidRPr="006F12DD">
              <w:rPr>
                <w:rFonts w:cs="Arial"/>
                <w:szCs w:val="22"/>
              </w:rPr>
              <w:t>The media can (and usually are) present at inquests. Media reports are selective and reports can be biased. Be prepared to see journalists inside and outside the court. Media interest s</w:t>
            </w:r>
            <w:r>
              <w:rPr>
                <w:rFonts w:cs="Arial"/>
                <w:szCs w:val="22"/>
              </w:rPr>
              <w:t>hould be covered by your Trust’s/provider’s</w:t>
            </w:r>
            <w:r w:rsidRPr="006F12DD">
              <w:rPr>
                <w:rFonts w:cs="Arial"/>
                <w:szCs w:val="22"/>
              </w:rPr>
              <w:t xml:space="preserve"> Communications Team. It is best to avoid being drawn to give any comment to journalists.</w:t>
            </w:r>
          </w:p>
          <w:p w:rsidR="009B0CEE" w:rsidRDefault="009B0CEE" w:rsidP="009B0CEE">
            <w:pPr>
              <w:pStyle w:val="BodyText"/>
              <w:numPr>
                <w:ilvl w:val="0"/>
                <w:numId w:val="1"/>
              </w:numPr>
              <w:spacing w:before="0" w:after="0"/>
              <w:ind w:left="567" w:hanging="567"/>
              <w:rPr>
                <w:rFonts w:cs="Arial"/>
                <w:szCs w:val="22"/>
              </w:rPr>
            </w:pPr>
            <w:r w:rsidRPr="006F12DD">
              <w:rPr>
                <w:rFonts w:cs="Arial"/>
                <w:szCs w:val="22"/>
              </w:rPr>
              <w:t>Media reports can be frustrating and stressful. You may wish to try to avoid them. You may feel you are being unfairly blamed. If this occurs please seek suppo</w:t>
            </w:r>
            <w:r>
              <w:rPr>
                <w:rFonts w:cs="Arial"/>
                <w:szCs w:val="22"/>
              </w:rPr>
              <w:t>rt from your friends, from the T</w:t>
            </w:r>
            <w:r w:rsidRPr="006F12DD">
              <w:rPr>
                <w:rFonts w:cs="Arial"/>
                <w:szCs w:val="22"/>
              </w:rPr>
              <w:t>rust</w:t>
            </w:r>
            <w:r>
              <w:rPr>
                <w:rFonts w:cs="Arial"/>
                <w:szCs w:val="22"/>
              </w:rPr>
              <w:t>/provider and from HEE.</w:t>
            </w:r>
          </w:p>
          <w:p w:rsidR="009B0CEE" w:rsidRPr="0002204B" w:rsidRDefault="009B0CEE" w:rsidP="001C4A74">
            <w:pPr>
              <w:pStyle w:val="BodyText"/>
              <w:spacing w:before="0" w:after="0"/>
              <w:rPr>
                <w:rFonts w:cs="Arial"/>
                <w:szCs w:val="22"/>
              </w:rPr>
            </w:pPr>
          </w:p>
        </w:tc>
      </w:tr>
      <w:tr w:rsidR="009B0CEE" w:rsidRPr="00F84672" w:rsidTr="001C4A74">
        <w:trPr>
          <w:trHeight w:val="283"/>
        </w:trPr>
        <w:tc>
          <w:tcPr>
            <w:tcW w:w="9956" w:type="dxa"/>
            <w:shd w:val="clear" w:color="auto" w:fill="FFC000"/>
          </w:tcPr>
          <w:p w:rsidR="009B0CEE" w:rsidRPr="00F84672" w:rsidRDefault="009B0CEE" w:rsidP="001C4A74">
            <w:pPr>
              <w:rPr>
                <w:b/>
                <w:bCs/>
                <w:szCs w:val="22"/>
              </w:rPr>
            </w:pPr>
            <w:r w:rsidRPr="006F0E1F">
              <w:rPr>
                <w:rFonts w:cs="Arial"/>
                <w:b/>
                <w:szCs w:val="22"/>
              </w:rPr>
              <w:t>Section 13: Verdicts</w:t>
            </w:r>
          </w:p>
        </w:tc>
      </w:tr>
      <w:tr w:rsidR="009B0CEE" w:rsidRPr="006F12DD" w:rsidTr="001C4A74">
        <w:trPr>
          <w:trHeight w:val="845"/>
        </w:trPr>
        <w:tc>
          <w:tcPr>
            <w:tcW w:w="9956" w:type="dxa"/>
            <w:shd w:val="clear" w:color="auto" w:fill="auto"/>
          </w:tcPr>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r w:rsidRPr="006F12DD">
              <w:rPr>
                <w:rFonts w:cs="Arial"/>
                <w:szCs w:val="22"/>
              </w:rPr>
              <w:t>At the conclusion of the evidence the Coroner will sum up the facts. If there is a jury he/she will direct them on the law. No one else is entitled to address the coroner on the facts (including any legal representatives present) It is only permissible to address the Coroner on matters of law.</w:t>
            </w:r>
          </w:p>
          <w:p w:rsidR="009B0CEE" w:rsidRPr="006F12DD"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r w:rsidRPr="006F12DD">
              <w:rPr>
                <w:rFonts w:cs="Arial"/>
                <w:szCs w:val="22"/>
              </w:rPr>
              <w:t>Verdicts of “unlawfully killed” or “suicide” must be proven “beyond all reasonable doubt”. All other verdicts are dealt with to the civil standard of proof, “the balance of probabilities” (i.e. 51%)</w:t>
            </w:r>
            <w:r>
              <w:rPr>
                <w:rFonts w:cs="Arial"/>
                <w:szCs w:val="22"/>
              </w:rPr>
              <w:t>.  Verdicts include:</w:t>
            </w:r>
          </w:p>
          <w:p w:rsidR="009B0CEE" w:rsidRPr="006F12DD"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r w:rsidRPr="006F12DD">
              <w:rPr>
                <w:rFonts w:cs="Arial"/>
                <w:szCs w:val="22"/>
              </w:rPr>
              <w:t>Short form verdicts</w:t>
            </w:r>
            <w:r>
              <w:rPr>
                <w:rFonts w:cs="Arial"/>
                <w:szCs w:val="22"/>
              </w:rPr>
              <w:t>:-</w:t>
            </w:r>
          </w:p>
          <w:p w:rsidR="009B0CEE" w:rsidRPr="006F12DD" w:rsidRDefault="009B0CEE" w:rsidP="001C4A74">
            <w:pPr>
              <w:pStyle w:val="BodyText"/>
              <w:spacing w:before="0" w:after="0"/>
              <w:rPr>
                <w:rFonts w:cs="Arial"/>
                <w:szCs w:val="22"/>
              </w:rPr>
            </w:pP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Died from natural causes</w:t>
            </w: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Died from industrial disease</w:t>
            </w: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Died from want of attention at birth</w:t>
            </w: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Died from dependence on drugs/non-dependent abuse of drugs</w:t>
            </w: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Killed himself – whilst the balance of his mind was disturbed</w:t>
            </w: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Died a</w:t>
            </w:r>
            <w:r>
              <w:rPr>
                <w:rFonts w:cs="Arial"/>
                <w:szCs w:val="22"/>
              </w:rPr>
              <w:t>s a result of an attempted/self-</w:t>
            </w:r>
            <w:r w:rsidRPr="006F12DD">
              <w:rPr>
                <w:rFonts w:cs="Arial"/>
                <w:szCs w:val="22"/>
              </w:rPr>
              <w:t>induced abortion</w:t>
            </w: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Died as a result of accident/misadventure</w:t>
            </w: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Killed lawfully</w:t>
            </w: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Killed unlawfully – murder, manslaughter, infanticide</w:t>
            </w:r>
          </w:p>
          <w:p w:rsidR="009B0CEE" w:rsidRDefault="009B0CEE" w:rsidP="009B0CEE">
            <w:pPr>
              <w:pStyle w:val="BodyText"/>
              <w:numPr>
                <w:ilvl w:val="0"/>
                <w:numId w:val="1"/>
              </w:numPr>
              <w:spacing w:before="0" w:after="0"/>
              <w:ind w:left="357" w:hanging="357"/>
              <w:rPr>
                <w:rFonts w:cs="Arial"/>
                <w:szCs w:val="22"/>
              </w:rPr>
            </w:pPr>
            <w:r w:rsidRPr="006F12DD">
              <w:rPr>
                <w:rFonts w:cs="Arial"/>
                <w:szCs w:val="22"/>
              </w:rPr>
              <w:t>Stillborn</w:t>
            </w:r>
          </w:p>
          <w:p w:rsidR="009B0CEE" w:rsidRPr="006F12DD" w:rsidRDefault="009B0CEE" w:rsidP="001C4A74">
            <w:pPr>
              <w:pStyle w:val="BodyText"/>
              <w:spacing w:before="0" w:after="0"/>
              <w:ind w:left="714"/>
              <w:rPr>
                <w:rFonts w:cs="Arial"/>
                <w:szCs w:val="22"/>
              </w:rPr>
            </w:pPr>
          </w:p>
          <w:p w:rsidR="009B0CEE" w:rsidRDefault="009B0CEE" w:rsidP="001C4A74">
            <w:pPr>
              <w:pStyle w:val="BodyText"/>
              <w:spacing w:before="0" w:after="0"/>
              <w:rPr>
                <w:rFonts w:cs="Arial"/>
                <w:szCs w:val="22"/>
              </w:rPr>
            </w:pPr>
            <w:r>
              <w:rPr>
                <w:rFonts w:cs="Arial"/>
                <w:szCs w:val="22"/>
              </w:rPr>
              <w:t>Clarifications:</w:t>
            </w:r>
            <w:r w:rsidRPr="006F12DD">
              <w:rPr>
                <w:rFonts w:cs="Arial"/>
                <w:szCs w:val="22"/>
              </w:rPr>
              <w:t xml:space="preserve"> Accident implies something over which there is no human control (e.g. a fall) whereas misadventure suggests a lawful human act (e.g. an operation) which takes an unexpected turn and leads to death. If the deceased had a life threatening condition which was either exacerbated by medical treatment or allowed to progress, then the death may be considered to be by accident or misadventure. If, however the death was caused by the underlying disease that proved fatal then natural causes would be the verdict</w:t>
            </w:r>
          </w:p>
          <w:p w:rsidR="009B0CEE" w:rsidRPr="006F12DD" w:rsidRDefault="009B0CEE" w:rsidP="001C4A74">
            <w:pPr>
              <w:pStyle w:val="BodyText"/>
              <w:spacing w:before="0" w:after="0"/>
              <w:rPr>
                <w:rFonts w:cs="Arial"/>
                <w:szCs w:val="22"/>
              </w:rPr>
            </w:pPr>
          </w:p>
          <w:p w:rsidR="009B0CEE" w:rsidRPr="006F12DD" w:rsidRDefault="009B0CEE" w:rsidP="001C4A74">
            <w:pPr>
              <w:pStyle w:val="BodyText"/>
              <w:spacing w:before="0" w:after="0"/>
              <w:rPr>
                <w:rFonts w:cs="Arial"/>
                <w:szCs w:val="22"/>
              </w:rPr>
            </w:pPr>
            <w:r w:rsidRPr="006F12DD">
              <w:rPr>
                <w:rFonts w:cs="Arial"/>
                <w:szCs w:val="22"/>
              </w:rPr>
              <w:t>Neglect in the Coroner’s court does not imply negligence. The Coroner can add a rider of “neglect” to the verdict where he/she feels that there was a missed opportunity or gross failure to provide medical attention. There must be a clear connection between this neglect and the cause of death on “the balance of probabilities”. Neglect often occurs from a breakdown in communications rather than a deliberate act</w:t>
            </w:r>
          </w:p>
          <w:p w:rsidR="009B0CEE" w:rsidRDefault="009B0CEE" w:rsidP="001C4A74">
            <w:pPr>
              <w:pStyle w:val="BodyText"/>
              <w:spacing w:before="0" w:after="0"/>
              <w:rPr>
                <w:rFonts w:cs="Arial"/>
                <w:szCs w:val="22"/>
              </w:rPr>
            </w:pPr>
            <w:r w:rsidRPr="006F12DD">
              <w:rPr>
                <w:rFonts w:cs="Arial"/>
                <w:szCs w:val="22"/>
              </w:rPr>
              <w:t>Unlawful killing is extremely rare, but the consequences are severe. The coroner cannot accuse a named person of criminal liability, but will state that the deceased was unlawfully killed, without making reference to the culprit. The Coroner will refer the case to the Crown Prosecution service</w:t>
            </w:r>
            <w:r>
              <w:rPr>
                <w:rFonts w:cs="Arial"/>
                <w:szCs w:val="22"/>
              </w:rPr>
              <w:t>.</w:t>
            </w: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r>
              <w:rPr>
                <w:rFonts w:cs="Arial"/>
                <w:szCs w:val="22"/>
              </w:rPr>
              <w:t>Narrative verdicts:-</w:t>
            </w: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r>
              <w:rPr>
                <w:rFonts w:cs="Arial"/>
                <w:szCs w:val="22"/>
              </w:rPr>
              <w:t>T</w:t>
            </w:r>
            <w:r w:rsidRPr="006F12DD">
              <w:rPr>
                <w:rFonts w:cs="Arial"/>
                <w:szCs w:val="22"/>
              </w:rPr>
              <w:t>he use of narrative verdicts is increasingly common. The Coroner will often do this to make the sequence of events clearer for the family, and can also use the narrative where shortcomings of care have occurred.</w:t>
            </w:r>
          </w:p>
          <w:p w:rsidR="009B0CEE" w:rsidRPr="006F12DD"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r w:rsidRPr="006F12DD">
              <w:rPr>
                <w:rFonts w:cs="Arial"/>
                <w:szCs w:val="22"/>
              </w:rPr>
              <w:t>Occasionally there will be serious findings in a verdict which contain future implications for the public health. The Coroner can write a report (Prevention of Future Death Report – previously known as a Rule 43 report) to a Trust or another body indicating a need for corrective actions, and requiring a report on actions taken within 56 days.</w:t>
            </w:r>
          </w:p>
          <w:p w:rsidR="009B0CEE" w:rsidRPr="006F12DD"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r w:rsidRPr="006F12DD">
              <w:rPr>
                <w:rFonts w:cs="Arial"/>
                <w:szCs w:val="22"/>
              </w:rPr>
              <w:t>There is no right of appeal against the verdict of a Coroner’s court. It is inevitable that some parties may be aggrieved by</w:t>
            </w:r>
            <w:r>
              <w:rPr>
                <w:rFonts w:cs="Arial"/>
                <w:szCs w:val="22"/>
              </w:rPr>
              <w:t xml:space="preserve"> the verdict and </w:t>
            </w:r>
            <w:proofErr w:type="gramStart"/>
            <w:r>
              <w:rPr>
                <w:rFonts w:cs="Arial"/>
                <w:szCs w:val="22"/>
              </w:rPr>
              <w:t>seek</w:t>
            </w:r>
            <w:proofErr w:type="gramEnd"/>
            <w:r w:rsidRPr="006F12DD">
              <w:rPr>
                <w:rFonts w:cs="Arial"/>
                <w:szCs w:val="22"/>
              </w:rPr>
              <w:t xml:space="preserve"> to have this overturned. This is done by way of a judicial review. This is not a re-hearing of the facts; the review hears the specific application that the matter was dealt with in a manner that was unlawful, unjust or unreasonable. A successful review may result in a re-hearing but would not substitute a verdict</w:t>
            </w:r>
            <w:r>
              <w:rPr>
                <w:rFonts w:cs="Arial"/>
                <w:szCs w:val="22"/>
              </w:rPr>
              <w:t>.</w:t>
            </w:r>
          </w:p>
          <w:p w:rsidR="009B0CEE" w:rsidRPr="00F84672" w:rsidRDefault="009B0CEE" w:rsidP="001C4A74">
            <w:pPr>
              <w:pStyle w:val="BodyText"/>
              <w:spacing w:before="0" w:after="0"/>
              <w:rPr>
                <w:rFonts w:cs="Arial"/>
                <w:szCs w:val="22"/>
              </w:rPr>
            </w:pPr>
          </w:p>
        </w:tc>
      </w:tr>
      <w:tr w:rsidR="009B0CEE" w:rsidRPr="00F84672" w:rsidTr="001C4A74">
        <w:trPr>
          <w:trHeight w:val="283"/>
        </w:trPr>
        <w:tc>
          <w:tcPr>
            <w:tcW w:w="9956" w:type="dxa"/>
            <w:shd w:val="clear" w:color="auto" w:fill="FFC000"/>
          </w:tcPr>
          <w:p w:rsidR="009B0CEE" w:rsidRPr="00811B52" w:rsidRDefault="009B0CEE" w:rsidP="001C4A74">
            <w:pPr>
              <w:rPr>
                <w:b/>
                <w:szCs w:val="22"/>
              </w:rPr>
            </w:pPr>
            <w:r w:rsidRPr="006F0E1F">
              <w:rPr>
                <w:rFonts w:cs="Arial"/>
                <w:b/>
                <w:szCs w:val="22"/>
              </w:rPr>
              <w:lastRenderedPageBreak/>
              <w:t>Section 14: Representation at the Inquest</w:t>
            </w:r>
          </w:p>
        </w:tc>
      </w:tr>
      <w:tr w:rsidR="009B0CEE" w:rsidRPr="006F12DD" w:rsidTr="001C4A74">
        <w:trPr>
          <w:trHeight w:val="2135"/>
        </w:trPr>
        <w:tc>
          <w:tcPr>
            <w:tcW w:w="9956" w:type="dxa"/>
            <w:shd w:val="clear" w:color="auto" w:fill="auto"/>
          </w:tcPr>
          <w:p w:rsidR="009B0CEE" w:rsidRDefault="009B0CEE" w:rsidP="001C4A74">
            <w:pPr>
              <w:pStyle w:val="BodyText"/>
              <w:spacing w:before="0" w:after="0"/>
              <w:rPr>
                <w:rFonts w:cs="Arial"/>
                <w:szCs w:val="22"/>
              </w:rPr>
            </w:pPr>
          </w:p>
          <w:p w:rsidR="009B0CEE" w:rsidRPr="00F84672" w:rsidRDefault="009B0CEE" w:rsidP="001C4A74">
            <w:pPr>
              <w:pStyle w:val="BodyText"/>
              <w:spacing w:before="0" w:after="0"/>
              <w:rPr>
                <w:rFonts w:cs="Arial"/>
                <w:szCs w:val="22"/>
              </w:rPr>
            </w:pPr>
            <w:r w:rsidRPr="006F12DD">
              <w:rPr>
                <w:rFonts w:cs="Arial"/>
                <w:szCs w:val="22"/>
              </w:rPr>
              <w:t>This will depend on the circumstances of each case. The fact that a family has representation does not necess</w:t>
            </w:r>
            <w:r>
              <w:rPr>
                <w:rFonts w:cs="Arial"/>
                <w:szCs w:val="22"/>
              </w:rPr>
              <w:t>arily imply that your T</w:t>
            </w:r>
            <w:r w:rsidRPr="006F12DD">
              <w:rPr>
                <w:rFonts w:cs="Arial"/>
                <w:szCs w:val="22"/>
              </w:rPr>
              <w:t>rust</w:t>
            </w:r>
            <w:r>
              <w:rPr>
                <w:rFonts w:cs="Arial"/>
                <w:szCs w:val="22"/>
              </w:rPr>
              <w:t>/provider</w:t>
            </w:r>
            <w:r w:rsidRPr="006F12DD">
              <w:rPr>
                <w:rFonts w:cs="Arial"/>
                <w:szCs w:val="22"/>
              </w:rPr>
              <w:t xml:space="preserve"> will do likewise. The </w:t>
            </w:r>
            <w:r>
              <w:rPr>
                <w:rFonts w:cs="Arial"/>
                <w:szCs w:val="22"/>
              </w:rPr>
              <w:t>T</w:t>
            </w:r>
            <w:r w:rsidRPr="006F12DD">
              <w:rPr>
                <w:rFonts w:cs="Arial"/>
                <w:szCs w:val="22"/>
              </w:rPr>
              <w:t>rust</w:t>
            </w:r>
            <w:r>
              <w:rPr>
                <w:rFonts w:cs="Arial"/>
                <w:szCs w:val="22"/>
              </w:rPr>
              <w:t>/provider</w:t>
            </w:r>
            <w:r w:rsidRPr="006F12DD">
              <w:rPr>
                <w:rFonts w:cs="Arial"/>
                <w:szCs w:val="22"/>
              </w:rPr>
              <w:t xml:space="preserve"> is usually aware as to whether the family are represented or not.</w:t>
            </w:r>
            <w:r>
              <w:rPr>
                <w:rFonts w:cs="Arial"/>
                <w:szCs w:val="22"/>
              </w:rPr>
              <w:t xml:space="preserve">  </w:t>
            </w:r>
            <w:r w:rsidRPr="006F12DD">
              <w:rPr>
                <w:rFonts w:cs="Arial"/>
                <w:szCs w:val="22"/>
              </w:rPr>
              <w:t>It is sometimes assumed that any contact with inquests or litigation needs the involvement of your defence society. Most inquests do not end with con</w:t>
            </w:r>
            <w:r>
              <w:rPr>
                <w:rFonts w:cs="Arial"/>
                <w:szCs w:val="22"/>
              </w:rPr>
              <w:t>troversial or negative findings</w:t>
            </w:r>
            <w:r w:rsidRPr="006F12DD">
              <w:rPr>
                <w:rFonts w:cs="Arial"/>
                <w:szCs w:val="22"/>
              </w:rPr>
              <w:t>. By simply being a witness it is not usually normal to inform your defence society, the Coroner would be surprised if a legal representative appeared in the court for an individual witness</w:t>
            </w:r>
            <w:r>
              <w:rPr>
                <w:rFonts w:cs="Arial"/>
                <w:szCs w:val="22"/>
              </w:rPr>
              <w:t>.</w:t>
            </w:r>
          </w:p>
        </w:tc>
      </w:tr>
      <w:tr w:rsidR="009B0CEE" w:rsidRPr="00F84672" w:rsidTr="001C4A74">
        <w:trPr>
          <w:trHeight w:val="283"/>
        </w:trPr>
        <w:tc>
          <w:tcPr>
            <w:tcW w:w="9956" w:type="dxa"/>
            <w:shd w:val="clear" w:color="auto" w:fill="FFC000"/>
          </w:tcPr>
          <w:p w:rsidR="009B0CEE" w:rsidRPr="00F84672" w:rsidRDefault="009B0CEE" w:rsidP="001C4A74">
            <w:pPr>
              <w:rPr>
                <w:b/>
                <w:bCs/>
                <w:szCs w:val="22"/>
              </w:rPr>
            </w:pPr>
            <w:r w:rsidRPr="006F0E1F">
              <w:rPr>
                <w:rFonts w:cs="Arial"/>
                <w:b/>
                <w:szCs w:val="22"/>
              </w:rPr>
              <w:t>Section 15: Support</w:t>
            </w:r>
          </w:p>
        </w:tc>
      </w:tr>
      <w:tr w:rsidR="009B0CEE" w:rsidRPr="006F12DD" w:rsidTr="001C4A74">
        <w:trPr>
          <w:trHeight w:val="1985"/>
        </w:trPr>
        <w:tc>
          <w:tcPr>
            <w:tcW w:w="9956" w:type="dxa"/>
            <w:shd w:val="clear" w:color="auto" w:fill="auto"/>
          </w:tcPr>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r w:rsidRPr="006F12DD">
              <w:rPr>
                <w:rFonts w:cs="Arial"/>
                <w:szCs w:val="22"/>
              </w:rPr>
              <w:t>Being involved in an inquest creates understandable anxiety. It can be an unpleasant experience, for both witnesses and family. It is reassuring to know that most witnesses feel that their anxiety was overstated when looked at after the event.</w:t>
            </w:r>
          </w:p>
          <w:p w:rsidR="009B0CEE" w:rsidRPr="006F12DD" w:rsidRDefault="009B0CEE" w:rsidP="001C4A74">
            <w:pPr>
              <w:pStyle w:val="BodyText"/>
              <w:spacing w:before="0" w:after="0"/>
              <w:rPr>
                <w:rFonts w:cs="Arial"/>
                <w:szCs w:val="22"/>
              </w:rPr>
            </w:pPr>
          </w:p>
          <w:p w:rsidR="009B0CEE" w:rsidRPr="00DC5E6F" w:rsidRDefault="009B0CEE" w:rsidP="001C4A74">
            <w:pPr>
              <w:pStyle w:val="BodyText"/>
              <w:spacing w:before="0" w:after="0"/>
              <w:rPr>
                <w:rFonts w:cs="Arial"/>
                <w:szCs w:val="22"/>
              </w:rPr>
            </w:pPr>
            <w:r w:rsidRPr="00DC5E6F">
              <w:rPr>
                <w:rFonts w:cs="Arial"/>
                <w:szCs w:val="22"/>
              </w:rPr>
              <w:t xml:space="preserve">In the Trust/provider, the governance/complaints/legal services departments will be co-ordinating statements and the date of the inquest. They are familiar with the process and can give a lot of advice. It will be normal practise to have pre-inquest meetings to go over statements and give </w:t>
            </w:r>
            <w:r w:rsidRPr="00DC5E6F">
              <w:rPr>
                <w:rFonts w:cs="Arial"/>
                <w:szCs w:val="22"/>
              </w:rPr>
              <w:lastRenderedPageBreak/>
              <w:t>advice on giving evidence and the process. They also frequently offer post inquest debriefing.</w:t>
            </w:r>
          </w:p>
          <w:p w:rsidR="009B0CEE" w:rsidRPr="00DC5E6F"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r w:rsidRPr="00DC5E6F">
              <w:rPr>
                <w:rFonts w:cs="Arial"/>
                <w:szCs w:val="22"/>
              </w:rPr>
              <w:t xml:space="preserve">Consultants, who will be giving evidence, can also give support and advice. They may have given evidence before and will understand concerns. If anxiety is turning into overt stress then support is available from Occupational Health. Your Educational Supervisor, Training Programme Director, Head of School and </w:t>
            </w:r>
            <w:r>
              <w:t xml:space="preserve">other supervisors and mentors </w:t>
            </w:r>
            <w:r w:rsidRPr="006F12DD">
              <w:rPr>
                <w:rFonts w:cs="Arial"/>
                <w:szCs w:val="22"/>
              </w:rPr>
              <w:t>are also available to give you advice and support.</w:t>
            </w: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Pr="00F84672" w:rsidRDefault="009B0CEE" w:rsidP="001C4A74">
            <w:pPr>
              <w:pStyle w:val="BodyText"/>
              <w:spacing w:before="0" w:after="0"/>
              <w:rPr>
                <w:rFonts w:cs="Arial"/>
                <w:szCs w:val="22"/>
              </w:rPr>
            </w:pPr>
          </w:p>
        </w:tc>
      </w:tr>
    </w:tbl>
    <w:p w:rsidR="004A2E92" w:rsidRDefault="004A2E92"/>
    <w:sectPr w:rsidR="004A2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25DCD"/>
    <w:multiLevelType w:val="hybridMultilevel"/>
    <w:tmpl w:val="84D8B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804B09"/>
    <w:multiLevelType w:val="hybridMultilevel"/>
    <w:tmpl w:val="9D9AC2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5EC3923"/>
    <w:multiLevelType w:val="hybridMultilevel"/>
    <w:tmpl w:val="89EEE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BD74B1F"/>
    <w:multiLevelType w:val="hybridMultilevel"/>
    <w:tmpl w:val="DDD244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7C1E4E0E"/>
    <w:multiLevelType w:val="hybridMultilevel"/>
    <w:tmpl w:val="44DC3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CEE"/>
    <w:rsid w:val="004A2E92"/>
    <w:rsid w:val="009B0CEE"/>
    <w:rsid w:val="00C56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CEE"/>
    <w:pPr>
      <w:spacing w:before="120" w:after="120" w:line="300" w:lineRule="auto"/>
    </w:pPr>
    <w:rPr>
      <w:rFonts w:ascii="Arial" w:eastAsia="Cambria" w:hAnsi="Arial" w:cs="Times New Roman"/>
      <w:spacing w:val="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B0CEE"/>
    <w:pPr>
      <w:tabs>
        <w:tab w:val="left" w:pos="567"/>
        <w:tab w:val="left" w:pos="1134"/>
        <w:tab w:val="left" w:pos="1701"/>
        <w:tab w:val="left" w:pos="2268"/>
        <w:tab w:val="left" w:pos="2835"/>
      </w:tabs>
      <w:spacing w:line="240" w:lineRule="auto"/>
      <w:jc w:val="both"/>
    </w:pPr>
    <w:rPr>
      <w:rFonts w:eastAsia="Times New Roman"/>
      <w:bCs/>
      <w:spacing w:val="-5"/>
      <w:szCs w:val="20"/>
    </w:rPr>
  </w:style>
  <w:style w:type="character" w:customStyle="1" w:styleId="BodyTextChar">
    <w:name w:val="Body Text Char"/>
    <w:basedOn w:val="DefaultParagraphFont"/>
    <w:link w:val="BodyText"/>
    <w:rsid w:val="009B0CEE"/>
    <w:rPr>
      <w:rFonts w:ascii="Arial" w:eastAsia="Times New Roman" w:hAnsi="Arial" w:cs="Times New Roman"/>
      <w:bCs/>
      <w:spacing w:val="-5"/>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CEE"/>
    <w:pPr>
      <w:spacing w:before="120" w:after="120" w:line="300" w:lineRule="auto"/>
    </w:pPr>
    <w:rPr>
      <w:rFonts w:ascii="Arial" w:eastAsia="Cambria" w:hAnsi="Arial" w:cs="Times New Roman"/>
      <w:spacing w:val="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B0CEE"/>
    <w:pPr>
      <w:tabs>
        <w:tab w:val="left" w:pos="567"/>
        <w:tab w:val="left" w:pos="1134"/>
        <w:tab w:val="left" w:pos="1701"/>
        <w:tab w:val="left" w:pos="2268"/>
        <w:tab w:val="left" w:pos="2835"/>
      </w:tabs>
      <w:spacing w:line="240" w:lineRule="auto"/>
      <w:jc w:val="both"/>
    </w:pPr>
    <w:rPr>
      <w:rFonts w:eastAsia="Times New Roman"/>
      <w:bCs/>
      <w:spacing w:val="-5"/>
      <w:szCs w:val="20"/>
    </w:rPr>
  </w:style>
  <w:style w:type="character" w:customStyle="1" w:styleId="BodyTextChar">
    <w:name w:val="Body Text Char"/>
    <w:basedOn w:val="DefaultParagraphFont"/>
    <w:link w:val="BodyText"/>
    <w:rsid w:val="009B0CEE"/>
    <w:rPr>
      <w:rFonts w:ascii="Arial" w:eastAsia="Times New Roman" w:hAnsi="Arial" w:cs="Times New Roman"/>
      <w:bCs/>
      <w:spacing w:val="-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Catherine (Q33) NHS East Midlands</dc:creator>
  <cp:lastModifiedBy>Evans Catherine (Q33) NHS East Midlands</cp:lastModifiedBy>
  <cp:revision>2</cp:revision>
  <dcterms:created xsi:type="dcterms:W3CDTF">2016-10-25T14:35:00Z</dcterms:created>
  <dcterms:modified xsi:type="dcterms:W3CDTF">2016-10-25T14:42:00Z</dcterms:modified>
</cp:coreProperties>
</file>