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proofErr w:type="gramStart"/>
      <w:r>
        <w:t>North West</w:t>
      </w:r>
      <w:proofErr w:type="gramEnd"/>
      <w:r>
        <w:t xml:space="preserve"> Core Surgical Training</w:t>
      </w:r>
    </w:p>
    <w:p w14:paraId="534BF838" w14:textId="247E659F" w:rsidR="00F3431D" w:rsidRDefault="00F3431D"/>
    <w:p w14:paraId="200D401B" w14:textId="4FC28626" w:rsidR="00F3431D" w:rsidRDefault="00F3431D" w:rsidP="00F3431D">
      <w:pPr>
        <w:pStyle w:val="HEEHeaders2"/>
      </w:pPr>
      <w:r>
        <w:t>Core Specialty and ST3 Preparation Module Checklist</w:t>
      </w:r>
      <w:r w:rsidR="00F10ECB">
        <w:t>s</w:t>
      </w:r>
      <w:r>
        <w:t xml:space="preserve"> – </w:t>
      </w:r>
      <w:r w:rsidR="00125BE7">
        <w:t>General</w:t>
      </w:r>
      <w:r>
        <w:t xml:space="preserve"> Surgery</w:t>
      </w:r>
    </w:p>
    <w:p w14:paraId="6F5332E8" w14:textId="36072F09" w:rsidR="00F3431D" w:rsidRDefault="00F3431D"/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1D1409" w14:paraId="17F89B63" w14:textId="77777777" w:rsidTr="008925AD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508A9152" w14:textId="77777777" w:rsidR="001D1409" w:rsidRPr="00053428" w:rsidRDefault="001D1409" w:rsidP="008925AD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6EF5E3CF" w14:textId="77777777" w:rsidR="001D1409" w:rsidRPr="00F41620" w:rsidRDefault="001D1409" w:rsidP="008925AD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6A31610D" w14:textId="77777777" w:rsidR="001D1409" w:rsidRPr="00F41620" w:rsidRDefault="001D1409" w:rsidP="008925AD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03651C73" w14:textId="77777777" w:rsidR="001D1409" w:rsidRPr="00F41620" w:rsidRDefault="001D1409" w:rsidP="008925AD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59010A65" w14:textId="25F1A607" w:rsidR="001D1409" w:rsidRPr="00F41620" w:rsidRDefault="001D1409" w:rsidP="008925A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  <w:r w:rsidR="00746184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D1409" w14:paraId="0F297D0B" w14:textId="77777777" w:rsidTr="002B0C13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376DDE83" w14:textId="77777777" w:rsidR="001D1409" w:rsidRPr="00D061B9" w:rsidRDefault="001D1409" w:rsidP="008925AD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0CFE0E40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09756BBE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8B31E3A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0A9B9ED8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</w:tr>
      <w:tr w:rsidR="001D1409" w14:paraId="32916962" w14:textId="77777777" w:rsidTr="002B0C13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45AEC7CB" w14:textId="77777777" w:rsidR="001D1409" w:rsidRPr="00D061B9" w:rsidRDefault="001D1409" w:rsidP="008925AD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5D338472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1C6CF11E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A6ACE5D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0E7B7DAF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</w:tr>
      <w:tr w:rsidR="001D1409" w14:paraId="2A267B26" w14:textId="77777777" w:rsidTr="002B0C13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0F84A108" w14:textId="77777777" w:rsidR="001D1409" w:rsidRPr="00D061B9" w:rsidRDefault="001D1409" w:rsidP="008925AD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6E226DDF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9DDE62B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0D3D7AA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2A0558A5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</w:tr>
      <w:tr w:rsidR="001D1409" w14:paraId="3AA24024" w14:textId="77777777" w:rsidTr="002B0C13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214F260A" w14:textId="77777777" w:rsidR="001D1409" w:rsidRPr="00D061B9" w:rsidRDefault="001D1409" w:rsidP="008925AD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7473212D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7FCCA97D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98F2136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32F9F7C0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</w:tr>
      <w:tr w:rsidR="001D1409" w14:paraId="7C1E9A8A" w14:textId="77777777" w:rsidTr="002B0C13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7D83722D" w14:textId="77777777" w:rsidR="001D1409" w:rsidRPr="00D061B9" w:rsidRDefault="001D1409" w:rsidP="008925AD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36C02507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045960FA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3EA0BB8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4D074D2" w14:textId="77777777" w:rsidR="001D1409" w:rsidRPr="002B0C13" w:rsidRDefault="001D1409" w:rsidP="002B0C13">
            <w:pPr>
              <w:rPr>
                <w:sz w:val="20"/>
                <w:szCs w:val="22"/>
              </w:rPr>
            </w:pPr>
          </w:p>
        </w:tc>
      </w:tr>
    </w:tbl>
    <w:p w14:paraId="049246E0" w14:textId="77777777" w:rsidR="004F218F" w:rsidRDefault="004F218F" w:rsidP="004F218F">
      <w:pPr>
        <w:pStyle w:val="HEEHEaders3"/>
      </w:pPr>
    </w:p>
    <w:p w14:paraId="56DA022C" w14:textId="427B1271" w:rsidR="004F218F" w:rsidRDefault="004F218F" w:rsidP="004F218F">
      <w:pPr>
        <w:pStyle w:val="HEEHEaders3"/>
      </w:pPr>
      <w:r>
        <w:t xml:space="preserve">Description of the levels (stated as a prefix for each procedure) expected for clinical and technical skills; </w:t>
      </w:r>
      <w:proofErr w:type="gramStart"/>
      <w:r>
        <w:t>e.g</w:t>
      </w:r>
      <w:r w:rsidR="00746184">
        <w:t>.</w:t>
      </w:r>
      <w:proofErr w:type="gramEnd"/>
      <w:r>
        <w:t xml:space="preserve"> 2 </w:t>
      </w:r>
      <w:r w:rsidRPr="009C1459">
        <w:rPr>
          <w:b w:val="0"/>
        </w:rPr>
        <w:t>Appendice</w:t>
      </w:r>
      <w:r w:rsidR="00481B36">
        <w:rPr>
          <w:b w:val="0"/>
        </w:rPr>
        <w:t>c</w:t>
      </w:r>
      <w:r w:rsidRPr="009C1459">
        <w:rPr>
          <w:b w:val="0"/>
        </w:rPr>
        <w:t>tomy</w:t>
      </w:r>
    </w:p>
    <w:p w14:paraId="7E612286" w14:textId="77777777" w:rsidR="00D73A34" w:rsidRDefault="00D73A34" w:rsidP="00D73A34"/>
    <w:p w14:paraId="29AC0F13" w14:textId="77777777" w:rsidR="004F218F" w:rsidRDefault="004F218F" w:rsidP="004F218F">
      <w:r>
        <w:t>Each topic within a stage has a competence level ascribed to it in the areas of clinical and technical skills ranging from 1 to 4:</w:t>
      </w:r>
    </w:p>
    <w:p w14:paraId="46065251" w14:textId="0A0BAF6E" w:rsidR="00D73A34" w:rsidRPr="00D73A34" w:rsidRDefault="00D73A34" w:rsidP="00D73A3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 xml:space="preserve">Has observed. At this </w:t>
      </w:r>
      <w:proofErr w:type="gramStart"/>
      <w:r w:rsidRPr="00D73A34">
        <w:rPr>
          <w:b/>
          <w:bCs/>
        </w:rPr>
        <w:t>level</w:t>
      </w:r>
      <w:proofErr w:type="gramEnd"/>
      <w:r w:rsidRPr="00D73A34">
        <w:rPr>
          <w:b/>
          <w:bCs/>
        </w:rPr>
        <w:t xml:space="preserve">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1BA02CA9" w14:textId="77777777" w:rsidR="00D73A34" w:rsidRPr="00D73A34" w:rsidRDefault="00D73A34" w:rsidP="00D73A3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 xml:space="preserve">Can do with </w:t>
      </w:r>
      <w:proofErr w:type="gramStart"/>
      <w:r w:rsidRPr="00D73A34">
        <w:rPr>
          <w:b/>
          <w:bCs/>
        </w:rPr>
        <w:t>assistance:</w:t>
      </w:r>
      <w:proofErr w:type="gramEnd"/>
      <w:r w:rsidRPr="00D73A34">
        <w:rPr>
          <w:b/>
          <w:bCs/>
        </w:rPr>
        <w:t xml:space="preserve"> equates to logbook STS</w:t>
      </w:r>
    </w:p>
    <w:p w14:paraId="3EEB322F" w14:textId="6BE72A57" w:rsidR="00D73A34" w:rsidRPr="00D73A34" w:rsidRDefault="00D73A34" w:rsidP="00D73A3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 xml:space="preserve">Can do whole but may need </w:t>
      </w:r>
      <w:proofErr w:type="gramStart"/>
      <w:r w:rsidRPr="00D73A34">
        <w:rPr>
          <w:b/>
          <w:bCs/>
        </w:rPr>
        <w:t>assistance:</w:t>
      </w:r>
      <w:proofErr w:type="gramEnd"/>
      <w:r w:rsidRPr="00D73A34">
        <w:rPr>
          <w:b/>
          <w:bCs/>
        </w:rPr>
        <w:t xml:space="preserve"> equates to logbook STU</w:t>
      </w:r>
    </w:p>
    <w:p w14:paraId="303CDFC7" w14:textId="10AFAF77" w:rsidR="00D73A34" w:rsidRPr="00D73A34" w:rsidRDefault="00D73A34" w:rsidP="00D73A34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 xml:space="preserve">Competent to do without assistance, including </w:t>
      </w:r>
      <w:proofErr w:type="gramStart"/>
      <w:r w:rsidRPr="00D73A34">
        <w:rPr>
          <w:b/>
          <w:bCs/>
        </w:rPr>
        <w:t>complications:</w:t>
      </w:r>
      <w:proofErr w:type="gramEnd"/>
      <w:r w:rsidRPr="00D73A34">
        <w:rPr>
          <w:b/>
          <w:bCs/>
        </w:rPr>
        <w:t xml:space="preserve">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0F6B8A79" w:rsidR="00F10ECB" w:rsidRPr="00F10ECB" w:rsidRDefault="00125BE7" w:rsidP="00F10ECB">
            <w:pPr>
              <w:rPr>
                <w:szCs w:val="22"/>
              </w:rPr>
            </w:pPr>
            <w:r>
              <w:rPr>
                <w:szCs w:val="22"/>
              </w:rPr>
              <w:t>General</w:t>
            </w:r>
            <w:r w:rsidR="00F10ECB">
              <w:rPr>
                <w:szCs w:val="22"/>
              </w:rPr>
              <w:t xml:space="preserve"> Surgery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3BFFCE19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690BE8">
              <w:rPr>
                <w:b/>
                <w:bCs/>
              </w:rPr>
              <w:t>re</w:t>
            </w:r>
            <w:r w:rsidRPr="002E4749">
              <w:rPr>
                <w:b/>
                <w:bCs/>
              </w:rPr>
              <w:t>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2BDDA4FD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4D14A9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1D1409">
              <w:rPr>
                <w:b/>
                <w:bCs/>
              </w:rPr>
              <w:t>/MCR</w:t>
            </w:r>
          </w:p>
        </w:tc>
      </w:tr>
      <w:tr w:rsidR="002E4749" w14:paraId="6C9EC5D4" w14:textId="77777777" w:rsidTr="00746184">
        <w:trPr>
          <w:cantSplit/>
          <w:trHeight w:val="62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2C59F7E7" w:rsidR="002E4749" w:rsidRPr="00513B2A" w:rsidRDefault="00513B2A" w:rsidP="00287B12">
            <w:pPr>
              <w:rPr>
                <w:sz w:val="20"/>
                <w:szCs w:val="20"/>
              </w:rPr>
            </w:pPr>
            <w:r w:rsidRPr="00513B2A">
              <w:rPr>
                <w:sz w:val="20"/>
                <w:szCs w:val="20"/>
              </w:rPr>
              <w:t>Assessment and planning the investigation of new and follow-up patients in general surgical outpatient clinics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D4C1197" w14:textId="3C8EA227" w:rsidR="002E4749" w:rsidRPr="00513B2A" w:rsidRDefault="00A97C50" w:rsidP="00287B12">
            <w:pPr>
              <w:rPr>
                <w:sz w:val="20"/>
                <w:szCs w:val="20"/>
              </w:rPr>
            </w:pPr>
            <w:r w:rsidRPr="00A97C50">
              <w:rPr>
                <w:sz w:val="20"/>
                <w:szCs w:val="20"/>
              </w:rPr>
              <w:t>Contribution to the trauma team as general surgical representative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7EBBCD6" w14:textId="2BE74ECC" w:rsidR="002E4749" w:rsidRPr="00D73A34" w:rsidRDefault="00541681" w:rsidP="00287B12">
            <w:pPr>
              <w:rPr>
                <w:sz w:val="20"/>
                <w:szCs w:val="20"/>
              </w:rPr>
            </w:pPr>
            <w:r w:rsidRPr="00541681">
              <w:rPr>
                <w:sz w:val="20"/>
                <w:szCs w:val="20"/>
              </w:rPr>
              <w:t>Interpretation of abdominal CT scans</w:t>
            </w:r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FE52DD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B14137B" w14:textId="0E100E27" w:rsidR="00FE52DD" w:rsidRPr="00FE52DD" w:rsidRDefault="00FE52DD" w:rsidP="00FE52DD">
            <w:pPr>
              <w:rPr>
                <w:sz w:val="20"/>
                <w:szCs w:val="20"/>
              </w:rPr>
            </w:pPr>
            <w:r w:rsidRPr="00FE52DD">
              <w:rPr>
                <w:sz w:val="20"/>
                <w:szCs w:val="20"/>
              </w:rPr>
              <w:t>Assessment and early management of acutely unwell</w:t>
            </w:r>
          </w:p>
          <w:p w14:paraId="6F11459B" w14:textId="7851C361" w:rsidR="002E4749" w:rsidRPr="00D73A34" w:rsidRDefault="00FE52DD" w:rsidP="00FE52DD">
            <w:pPr>
              <w:rPr>
                <w:sz w:val="20"/>
                <w:szCs w:val="20"/>
              </w:rPr>
            </w:pPr>
            <w:r w:rsidRPr="00FE52DD">
              <w:rPr>
                <w:sz w:val="20"/>
                <w:szCs w:val="20"/>
              </w:rPr>
              <w:t>patients presenting with an acute abdomen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FE52DD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ACC888F" w14:textId="5AC1A759" w:rsidR="002E4749" w:rsidRPr="00D73A34" w:rsidRDefault="00FE52DD" w:rsidP="00287B12">
            <w:pPr>
              <w:rPr>
                <w:sz w:val="20"/>
                <w:szCs w:val="20"/>
              </w:rPr>
            </w:pPr>
            <w:r w:rsidRPr="00A97C50">
              <w:rPr>
                <w:b/>
                <w:bCs/>
                <w:sz w:val="20"/>
                <w:szCs w:val="20"/>
              </w:rPr>
              <w:t>2</w:t>
            </w:r>
            <w:r w:rsidRPr="00A97C50">
              <w:rPr>
                <w:sz w:val="20"/>
                <w:szCs w:val="20"/>
              </w:rPr>
              <w:t xml:space="preserve"> </w:t>
            </w:r>
            <w:r w:rsidR="00746184">
              <w:rPr>
                <w:sz w:val="20"/>
                <w:szCs w:val="20"/>
              </w:rPr>
              <w:t xml:space="preserve">- </w:t>
            </w:r>
            <w:r w:rsidRPr="00A97C50">
              <w:rPr>
                <w:sz w:val="20"/>
                <w:szCs w:val="20"/>
              </w:rPr>
              <w:t>Outpatient treatment of haemorrhoids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7205B9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6AAB69B" w14:textId="748973B6" w:rsidR="002E4749" w:rsidRPr="00D73A34" w:rsidRDefault="007205B9" w:rsidP="00287B12">
            <w:pPr>
              <w:rPr>
                <w:sz w:val="20"/>
                <w:szCs w:val="20"/>
              </w:rPr>
            </w:pPr>
            <w:r w:rsidRPr="007205B9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4D14A9">
              <w:rPr>
                <w:sz w:val="20"/>
                <w:szCs w:val="20"/>
              </w:rPr>
              <w:t xml:space="preserve">- </w:t>
            </w:r>
            <w:r w:rsidRPr="007205B9">
              <w:rPr>
                <w:sz w:val="20"/>
                <w:szCs w:val="20"/>
              </w:rPr>
              <w:t>Rigid sigmoidoscopy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1DF8C5CF" w:rsidR="002E4749" w:rsidRPr="00D73A34" w:rsidRDefault="007205B9" w:rsidP="00287B12">
            <w:pPr>
              <w:rPr>
                <w:sz w:val="20"/>
                <w:szCs w:val="20"/>
              </w:rPr>
            </w:pPr>
            <w:r w:rsidRPr="007205B9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5187E">
              <w:rPr>
                <w:sz w:val="20"/>
                <w:szCs w:val="20"/>
              </w:rPr>
              <w:t xml:space="preserve">- </w:t>
            </w:r>
            <w:r w:rsidRPr="007205B9">
              <w:rPr>
                <w:sz w:val="20"/>
                <w:szCs w:val="20"/>
              </w:rPr>
              <w:t>Excision biopsy of skin lesion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422861DA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8F8F45" w14:textId="792F912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F4478C9" w14:textId="24783F62" w:rsidR="002E4749" w:rsidRPr="00D73A34" w:rsidRDefault="004E7093" w:rsidP="00F3431D">
            <w:pPr>
              <w:rPr>
                <w:sz w:val="20"/>
                <w:szCs w:val="20"/>
              </w:rPr>
            </w:pPr>
            <w:r w:rsidRPr="004E7093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5187E">
              <w:rPr>
                <w:sz w:val="20"/>
                <w:szCs w:val="20"/>
              </w:rPr>
              <w:t xml:space="preserve">- </w:t>
            </w:r>
            <w:r w:rsidRPr="004E7093">
              <w:rPr>
                <w:sz w:val="20"/>
                <w:szCs w:val="20"/>
              </w:rPr>
              <w:t>Repair of primary abdominal wall hernia</w:t>
            </w:r>
          </w:p>
        </w:tc>
        <w:tc>
          <w:tcPr>
            <w:tcW w:w="2835" w:type="dxa"/>
            <w:vAlign w:val="center"/>
          </w:tcPr>
          <w:p w14:paraId="50DA711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731506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9E753F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6A8D19E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4525BFB9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EC941A2" w14:textId="30E0AD0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7D28E374" w14:textId="71D19A35" w:rsidR="002E4749" w:rsidRPr="00D73A34" w:rsidRDefault="004E7093" w:rsidP="00287B12">
            <w:pPr>
              <w:rPr>
                <w:sz w:val="20"/>
                <w:szCs w:val="20"/>
              </w:rPr>
            </w:pPr>
            <w:r w:rsidRPr="004E7093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5187E">
              <w:rPr>
                <w:sz w:val="20"/>
                <w:szCs w:val="20"/>
              </w:rPr>
              <w:t xml:space="preserve">- </w:t>
            </w:r>
            <w:r w:rsidRPr="004E7093">
              <w:rPr>
                <w:sz w:val="20"/>
                <w:szCs w:val="20"/>
              </w:rPr>
              <w:t>Open and close midline laparotomy incision</w:t>
            </w:r>
          </w:p>
        </w:tc>
        <w:tc>
          <w:tcPr>
            <w:tcW w:w="2835" w:type="dxa"/>
            <w:vAlign w:val="center"/>
          </w:tcPr>
          <w:p w14:paraId="24AAD77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918FA0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E3C937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4F13908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530554E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A8230F" w14:textId="3659FA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0DD8915" w14:textId="0CC733A8" w:rsidR="002E4749" w:rsidRPr="00D73A34" w:rsidRDefault="004E7093" w:rsidP="00287B12">
            <w:pPr>
              <w:rPr>
                <w:sz w:val="20"/>
                <w:szCs w:val="20"/>
              </w:rPr>
            </w:pPr>
            <w:r w:rsidRPr="004E7093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5187E">
              <w:rPr>
                <w:sz w:val="20"/>
                <w:szCs w:val="20"/>
              </w:rPr>
              <w:t xml:space="preserve">- </w:t>
            </w:r>
            <w:r w:rsidRPr="004E7093">
              <w:rPr>
                <w:sz w:val="20"/>
                <w:szCs w:val="20"/>
              </w:rPr>
              <w:t>Placement of laparoscopic ports</w:t>
            </w:r>
          </w:p>
        </w:tc>
        <w:tc>
          <w:tcPr>
            <w:tcW w:w="2835" w:type="dxa"/>
            <w:vAlign w:val="center"/>
          </w:tcPr>
          <w:p w14:paraId="3DE0A5F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E4C15E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F10D9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5A34F9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E8F3E9D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3752072" w14:textId="34F637A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682E2F4" w14:textId="3BB828D7" w:rsidR="002E4749" w:rsidRPr="00D73A34" w:rsidRDefault="003E287E" w:rsidP="00287B12">
            <w:pPr>
              <w:rPr>
                <w:sz w:val="20"/>
                <w:szCs w:val="20"/>
              </w:rPr>
            </w:pPr>
            <w:r w:rsidRPr="003E287E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5187E">
              <w:rPr>
                <w:sz w:val="20"/>
                <w:szCs w:val="20"/>
              </w:rPr>
              <w:t xml:space="preserve">- </w:t>
            </w:r>
            <w:r w:rsidRPr="003E287E">
              <w:rPr>
                <w:sz w:val="20"/>
                <w:szCs w:val="20"/>
              </w:rPr>
              <w:t>Appendicectomy</w:t>
            </w:r>
          </w:p>
        </w:tc>
        <w:tc>
          <w:tcPr>
            <w:tcW w:w="2835" w:type="dxa"/>
            <w:vAlign w:val="center"/>
          </w:tcPr>
          <w:p w14:paraId="764992A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8B7BE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1D8DD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9D8004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3E287E" w14:paraId="70BA00AC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CB47309" w14:textId="407DCF94" w:rsidR="003E287E" w:rsidRDefault="003E287E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1ADCB35" w14:textId="0888AFA1" w:rsidR="003E287E" w:rsidRPr="003E287E" w:rsidRDefault="003E287E" w:rsidP="00287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7B19D7">
              <w:rPr>
                <w:b/>
                <w:bCs/>
                <w:sz w:val="20"/>
                <w:szCs w:val="20"/>
              </w:rPr>
              <w:t xml:space="preserve">- </w:t>
            </w:r>
            <w:r w:rsidRPr="003E287E">
              <w:rPr>
                <w:sz w:val="20"/>
                <w:szCs w:val="20"/>
              </w:rPr>
              <w:t>Superficial abscess drainage</w:t>
            </w:r>
          </w:p>
        </w:tc>
        <w:tc>
          <w:tcPr>
            <w:tcW w:w="2835" w:type="dxa"/>
            <w:vAlign w:val="center"/>
          </w:tcPr>
          <w:p w14:paraId="035966CE" w14:textId="77777777" w:rsidR="003E287E" w:rsidRPr="00D73A34" w:rsidRDefault="003E287E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7C9A94F" w14:textId="77777777" w:rsidR="003E287E" w:rsidRPr="00D73A34" w:rsidRDefault="003E287E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E70F636" w14:textId="77777777" w:rsidR="003E287E" w:rsidRPr="00D73A34" w:rsidRDefault="003E287E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3EA23AE4" w14:textId="77777777" w:rsidR="003E287E" w:rsidRPr="00D73A34" w:rsidRDefault="003E287E" w:rsidP="00287B12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8"/>
        <w:gridCol w:w="5087"/>
        <w:gridCol w:w="2835"/>
        <w:gridCol w:w="1666"/>
        <w:gridCol w:w="1895"/>
        <w:gridCol w:w="2101"/>
      </w:tblGrid>
      <w:tr w:rsidR="00F10ECB" w14:paraId="4178806A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E28C05" w:themeFill="accent1"/>
            <w:vAlign w:val="center"/>
          </w:tcPr>
          <w:p w14:paraId="56CBB855" w14:textId="18D8E899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ST3 Preparation Module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137E51F6" w14:textId="0FD19322" w:rsidR="00F10ECB" w:rsidRPr="00F10ECB" w:rsidRDefault="00125BE7" w:rsidP="00F10ECB">
            <w:pPr>
              <w:rPr>
                <w:b/>
                <w:bCs/>
                <w:sz w:val="30"/>
                <w:szCs w:val="30"/>
              </w:rPr>
            </w:pPr>
            <w:r>
              <w:rPr>
                <w:szCs w:val="22"/>
              </w:rPr>
              <w:t>General</w:t>
            </w:r>
            <w:r w:rsidR="00F10ECB">
              <w:rPr>
                <w:szCs w:val="22"/>
              </w:rPr>
              <w:t xml:space="preserve"> Surgery</w:t>
            </w:r>
          </w:p>
        </w:tc>
        <w:tc>
          <w:tcPr>
            <w:tcW w:w="2835" w:type="dxa"/>
            <w:shd w:val="clear" w:color="auto" w:fill="E28C05" w:themeFill="accent1"/>
          </w:tcPr>
          <w:p w14:paraId="701B08DB" w14:textId="67EA4B61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4C369A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E28C05" w:themeFill="accent1"/>
          </w:tcPr>
          <w:p w14:paraId="582FA621" w14:textId="1168EBD2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37052179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5" w:type="dxa"/>
            <w:shd w:val="clear" w:color="auto" w:fill="E28C05" w:themeFill="accent1"/>
          </w:tcPr>
          <w:p w14:paraId="5AE1DE7F" w14:textId="012B9170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2621892D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1" w:type="dxa"/>
            <w:shd w:val="clear" w:color="auto" w:fill="E28C05" w:themeFill="accent1"/>
          </w:tcPr>
          <w:p w14:paraId="6F98516C" w14:textId="225AC2E6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4C369A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1D1409">
              <w:rPr>
                <w:b/>
                <w:bCs/>
              </w:rPr>
              <w:t>/MCR</w:t>
            </w:r>
          </w:p>
        </w:tc>
      </w:tr>
      <w:tr w:rsidR="002E4749" w14:paraId="6B49B181" w14:textId="77777777" w:rsidTr="008011BF">
        <w:trPr>
          <w:cantSplit/>
          <w:trHeight w:val="1191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6B90C0B" w14:textId="04DD048E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5BA3D94" w14:textId="7731CD14" w:rsidR="002E4749" w:rsidRPr="00D73A34" w:rsidRDefault="008011BF" w:rsidP="008011BF">
            <w:pPr>
              <w:rPr>
                <w:sz w:val="20"/>
                <w:szCs w:val="20"/>
              </w:rPr>
            </w:pPr>
            <w:r w:rsidRPr="008011BF">
              <w:rPr>
                <w:sz w:val="20"/>
                <w:szCs w:val="20"/>
              </w:rPr>
              <w:t>To be able to diagnose and manage a range of elective</w:t>
            </w:r>
            <w:r>
              <w:rPr>
                <w:sz w:val="20"/>
                <w:szCs w:val="20"/>
              </w:rPr>
              <w:t xml:space="preserve"> </w:t>
            </w:r>
            <w:r w:rsidRPr="008011BF">
              <w:rPr>
                <w:sz w:val="20"/>
                <w:szCs w:val="20"/>
              </w:rPr>
              <w:t>conditions presenting to general surgeons including</w:t>
            </w:r>
            <w:r>
              <w:rPr>
                <w:sz w:val="20"/>
                <w:szCs w:val="20"/>
              </w:rPr>
              <w:t xml:space="preserve"> </w:t>
            </w:r>
            <w:r w:rsidRPr="008011BF">
              <w:rPr>
                <w:sz w:val="20"/>
                <w:szCs w:val="20"/>
              </w:rPr>
              <w:t>appropriate investigation. This should include primary</w:t>
            </w:r>
            <w:r>
              <w:rPr>
                <w:sz w:val="20"/>
                <w:szCs w:val="20"/>
              </w:rPr>
              <w:t xml:space="preserve"> </w:t>
            </w:r>
            <w:r w:rsidRPr="008011BF">
              <w:rPr>
                <w:sz w:val="20"/>
                <w:szCs w:val="20"/>
              </w:rPr>
              <w:t>abdominal wall hernias, lesions of the</w:t>
            </w:r>
            <w:r>
              <w:rPr>
                <w:sz w:val="20"/>
                <w:szCs w:val="20"/>
              </w:rPr>
              <w:t xml:space="preserve"> </w:t>
            </w:r>
            <w:r w:rsidRPr="008011BF">
              <w:rPr>
                <w:sz w:val="20"/>
                <w:szCs w:val="20"/>
              </w:rPr>
              <w:t>cutaneous and</w:t>
            </w:r>
            <w:r>
              <w:rPr>
                <w:sz w:val="20"/>
                <w:szCs w:val="20"/>
              </w:rPr>
              <w:t xml:space="preserve"> </w:t>
            </w:r>
            <w:r w:rsidRPr="008011BF">
              <w:rPr>
                <w:sz w:val="20"/>
                <w:szCs w:val="20"/>
              </w:rPr>
              <w:t>subcutaneous tissues</w:t>
            </w:r>
          </w:p>
        </w:tc>
        <w:tc>
          <w:tcPr>
            <w:tcW w:w="2835" w:type="dxa"/>
            <w:vAlign w:val="center"/>
          </w:tcPr>
          <w:p w14:paraId="24D907D8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0EC256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242210E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FAD853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</w:tr>
      <w:tr w:rsidR="002E4749" w14:paraId="2CC70462" w14:textId="77777777" w:rsidTr="004C125C">
        <w:trPr>
          <w:cantSplit/>
          <w:trHeight w:val="90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94D1927" w14:textId="03426548" w:rsidR="002E4749" w:rsidRPr="00D73A34" w:rsidRDefault="002E4749" w:rsidP="002E4749">
            <w:pPr>
              <w:jc w:val="center"/>
              <w:rPr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4F56381" w14:textId="59CBF50F" w:rsidR="002E4749" w:rsidRPr="00D73A34" w:rsidRDefault="00CA5579" w:rsidP="00CA5579">
            <w:pPr>
              <w:rPr>
                <w:sz w:val="20"/>
                <w:szCs w:val="20"/>
              </w:rPr>
            </w:pPr>
            <w:r w:rsidRPr="00CA5579">
              <w:rPr>
                <w:sz w:val="20"/>
                <w:szCs w:val="20"/>
              </w:rPr>
              <w:t>To be able to assess and initiate management of patients</w:t>
            </w:r>
            <w:r>
              <w:rPr>
                <w:sz w:val="20"/>
                <w:szCs w:val="20"/>
              </w:rPr>
              <w:t xml:space="preserve"> </w:t>
            </w:r>
            <w:r w:rsidRPr="00CA5579">
              <w:rPr>
                <w:sz w:val="20"/>
                <w:szCs w:val="20"/>
              </w:rPr>
              <w:t>presenting with common conditions electively to</w:t>
            </w:r>
            <w:r>
              <w:rPr>
                <w:sz w:val="20"/>
                <w:szCs w:val="20"/>
              </w:rPr>
              <w:t xml:space="preserve"> </w:t>
            </w:r>
            <w:r w:rsidRPr="00CA5579">
              <w:rPr>
                <w:sz w:val="20"/>
                <w:szCs w:val="20"/>
              </w:rPr>
              <w:t>subspecialty clinics. This should include gall stones, upper</w:t>
            </w:r>
            <w:r>
              <w:rPr>
                <w:sz w:val="20"/>
                <w:szCs w:val="20"/>
              </w:rPr>
              <w:t xml:space="preserve"> </w:t>
            </w:r>
            <w:r w:rsidRPr="00CA5579">
              <w:rPr>
                <w:sz w:val="20"/>
                <w:szCs w:val="20"/>
              </w:rPr>
              <w:t>and lower gastrointestinal tract cancers</w:t>
            </w:r>
          </w:p>
        </w:tc>
        <w:tc>
          <w:tcPr>
            <w:tcW w:w="2835" w:type="dxa"/>
            <w:vAlign w:val="center"/>
          </w:tcPr>
          <w:p w14:paraId="04F748B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AC9FD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7BF5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894BA9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C4B5AB4" w14:textId="77777777" w:rsidTr="0086291C">
        <w:trPr>
          <w:cantSplit/>
          <w:trHeight w:val="2268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B8E5805" w14:textId="253429E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E75F3A6" w14:textId="1130EDD0" w:rsidR="004C125C" w:rsidRPr="004C125C" w:rsidRDefault="004C125C" w:rsidP="004C125C">
            <w:pPr>
              <w:rPr>
                <w:sz w:val="20"/>
                <w:szCs w:val="20"/>
              </w:rPr>
            </w:pPr>
            <w:r w:rsidRPr="004C125C">
              <w:rPr>
                <w:sz w:val="20"/>
                <w:szCs w:val="20"/>
              </w:rPr>
              <w:t>To be able to assess and provide the early care of a patient</w:t>
            </w:r>
            <w:r>
              <w:rPr>
                <w:sz w:val="20"/>
                <w:szCs w:val="20"/>
              </w:rPr>
              <w:t xml:space="preserve"> </w:t>
            </w:r>
            <w:r w:rsidRPr="004C125C">
              <w:rPr>
                <w:sz w:val="20"/>
                <w:szCs w:val="20"/>
              </w:rPr>
              <w:t>presenting with acute abdominal symptoms and signs. This</w:t>
            </w:r>
            <w:r>
              <w:rPr>
                <w:sz w:val="20"/>
                <w:szCs w:val="20"/>
              </w:rPr>
              <w:t xml:space="preserve"> </w:t>
            </w:r>
            <w:r w:rsidRPr="004C125C">
              <w:rPr>
                <w:sz w:val="20"/>
                <w:szCs w:val="20"/>
              </w:rPr>
              <w:t>should include localised and generalised peritonitis (Acute</w:t>
            </w:r>
            <w:r>
              <w:rPr>
                <w:sz w:val="20"/>
                <w:szCs w:val="20"/>
              </w:rPr>
              <w:t xml:space="preserve"> </w:t>
            </w:r>
            <w:r w:rsidRPr="004C125C">
              <w:rPr>
                <w:sz w:val="20"/>
                <w:szCs w:val="20"/>
              </w:rPr>
              <w:t>cholecystitis, acute</w:t>
            </w:r>
            <w:r>
              <w:rPr>
                <w:sz w:val="20"/>
                <w:szCs w:val="20"/>
              </w:rPr>
              <w:t xml:space="preserve"> </w:t>
            </w:r>
            <w:r w:rsidRPr="004C125C">
              <w:rPr>
                <w:sz w:val="20"/>
                <w:szCs w:val="20"/>
              </w:rPr>
              <w:t>diverticulitis, acute pancreatitis,</w:t>
            </w:r>
            <w:r>
              <w:rPr>
                <w:sz w:val="20"/>
                <w:szCs w:val="20"/>
              </w:rPr>
              <w:t xml:space="preserve"> </w:t>
            </w:r>
            <w:r w:rsidRPr="004C125C">
              <w:rPr>
                <w:sz w:val="20"/>
                <w:szCs w:val="20"/>
              </w:rPr>
              <w:t>visceral perforation,</w:t>
            </w:r>
            <w:r>
              <w:rPr>
                <w:sz w:val="20"/>
                <w:szCs w:val="20"/>
              </w:rPr>
              <w:t xml:space="preserve"> </w:t>
            </w:r>
            <w:r w:rsidRPr="004C125C">
              <w:rPr>
                <w:sz w:val="20"/>
                <w:szCs w:val="20"/>
              </w:rPr>
              <w:t xml:space="preserve">acute </w:t>
            </w:r>
            <w:proofErr w:type="gramStart"/>
            <w:r w:rsidRPr="004C125C">
              <w:rPr>
                <w:sz w:val="20"/>
                <w:szCs w:val="20"/>
              </w:rPr>
              <w:t>appendicitis</w:t>
            </w:r>
            <w:proofErr w:type="gramEnd"/>
            <w:r w:rsidRPr="004C125C">
              <w:rPr>
                <w:sz w:val="20"/>
                <w:szCs w:val="20"/>
              </w:rPr>
              <w:t xml:space="preserve"> and acute</w:t>
            </w:r>
            <w:r>
              <w:rPr>
                <w:sz w:val="20"/>
                <w:szCs w:val="20"/>
              </w:rPr>
              <w:t xml:space="preserve"> </w:t>
            </w:r>
            <w:r w:rsidRPr="004C125C">
              <w:rPr>
                <w:sz w:val="20"/>
                <w:szCs w:val="20"/>
              </w:rPr>
              <w:t>gynaecological conditions), obstruction (small and large</w:t>
            </w:r>
            <w:r>
              <w:rPr>
                <w:sz w:val="20"/>
                <w:szCs w:val="20"/>
              </w:rPr>
              <w:t xml:space="preserve"> </w:t>
            </w:r>
            <w:r w:rsidRPr="004C125C">
              <w:rPr>
                <w:sz w:val="20"/>
                <w:szCs w:val="20"/>
              </w:rPr>
              <w:t>bowel-obstructed hernias, adhesions, colonic carcinoma)</w:t>
            </w:r>
          </w:p>
          <w:p w14:paraId="1E110AE3" w14:textId="77777777" w:rsidR="004C125C" w:rsidRPr="004C125C" w:rsidRDefault="004C125C" w:rsidP="004C125C">
            <w:pPr>
              <w:rPr>
                <w:sz w:val="20"/>
                <w:szCs w:val="20"/>
              </w:rPr>
            </w:pPr>
            <w:r w:rsidRPr="004C125C">
              <w:rPr>
                <w:sz w:val="20"/>
                <w:szCs w:val="20"/>
              </w:rPr>
              <w:t>and localised abdominal pain (biliary colic, non-specific</w:t>
            </w:r>
          </w:p>
          <w:p w14:paraId="18357D11" w14:textId="0EDB694E" w:rsidR="002E4749" w:rsidRPr="00D73A34" w:rsidRDefault="004C125C" w:rsidP="004C125C">
            <w:pPr>
              <w:rPr>
                <w:sz w:val="20"/>
                <w:szCs w:val="20"/>
              </w:rPr>
            </w:pPr>
            <w:r w:rsidRPr="004C125C">
              <w:rPr>
                <w:sz w:val="20"/>
                <w:szCs w:val="20"/>
              </w:rPr>
              <w:t>abdominal pain)</w:t>
            </w:r>
          </w:p>
        </w:tc>
        <w:tc>
          <w:tcPr>
            <w:tcW w:w="2835" w:type="dxa"/>
            <w:vAlign w:val="center"/>
          </w:tcPr>
          <w:p w14:paraId="570BC10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8F8164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7CB17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AB0D0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CFD3C6A" w14:textId="77777777" w:rsidTr="00D113D7">
        <w:trPr>
          <w:cantSplit/>
          <w:trHeight w:val="73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40FB8015" w14:textId="5D38B6A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FB1C329" w14:textId="6FEEDCEE" w:rsidR="002E4749" w:rsidRPr="00D73A34" w:rsidRDefault="0086291C" w:rsidP="0086291C">
            <w:pPr>
              <w:rPr>
                <w:sz w:val="20"/>
                <w:szCs w:val="20"/>
              </w:rPr>
            </w:pPr>
            <w:r w:rsidRPr="0086291C">
              <w:rPr>
                <w:sz w:val="20"/>
                <w:szCs w:val="20"/>
              </w:rPr>
              <w:t>To be able to assess and provide the early care of a patient</w:t>
            </w:r>
            <w:r>
              <w:rPr>
                <w:sz w:val="20"/>
                <w:szCs w:val="20"/>
              </w:rPr>
              <w:t xml:space="preserve"> </w:t>
            </w:r>
            <w:r w:rsidRPr="0086291C">
              <w:rPr>
                <w:sz w:val="20"/>
                <w:szCs w:val="20"/>
              </w:rPr>
              <w:t>with suspected abdominal trauma. This should include</w:t>
            </w:r>
            <w:r>
              <w:rPr>
                <w:sz w:val="20"/>
                <w:szCs w:val="20"/>
              </w:rPr>
              <w:t xml:space="preserve"> </w:t>
            </w:r>
            <w:r w:rsidRPr="0086291C">
              <w:rPr>
                <w:sz w:val="20"/>
                <w:szCs w:val="20"/>
              </w:rPr>
              <w:t>primary and secondary survey</w:t>
            </w:r>
          </w:p>
        </w:tc>
        <w:tc>
          <w:tcPr>
            <w:tcW w:w="2835" w:type="dxa"/>
            <w:vAlign w:val="center"/>
          </w:tcPr>
          <w:p w14:paraId="0198C2D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C77FF8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93ED0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FF960A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42C6636" w14:textId="77777777" w:rsidTr="000634AF">
        <w:trPr>
          <w:cantSplit/>
          <w:trHeight w:val="73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FDA51A1" w14:textId="63C4CBF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FB8C7E0" w14:textId="12F2D5EC" w:rsidR="002E4749" w:rsidRPr="00D73A34" w:rsidRDefault="000634AF" w:rsidP="000634AF">
            <w:pPr>
              <w:rPr>
                <w:sz w:val="20"/>
                <w:szCs w:val="20"/>
              </w:rPr>
            </w:pPr>
            <w:r w:rsidRPr="000634AF">
              <w:rPr>
                <w:sz w:val="20"/>
                <w:szCs w:val="20"/>
              </w:rPr>
              <w:t>To be able to recognise assess and provide the early care</w:t>
            </w:r>
            <w:r>
              <w:rPr>
                <w:sz w:val="20"/>
                <w:szCs w:val="20"/>
              </w:rPr>
              <w:t xml:space="preserve"> </w:t>
            </w:r>
            <w:r w:rsidRPr="000634AF">
              <w:rPr>
                <w:sz w:val="20"/>
                <w:szCs w:val="20"/>
              </w:rPr>
              <w:t>of a patient presenting with ruptured abdominal aortic</w:t>
            </w:r>
            <w:r>
              <w:rPr>
                <w:sz w:val="20"/>
                <w:szCs w:val="20"/>
              </w:rPr>
              <w:t xml:space="preserve"> </w:t>
            </w:r>
            <w:r w:rsidRPr="000634AF">
              <w:rPr>
                <w:sz w:val="20"/>
                <w:szCs w:val="20"/>
              </w:rPr>
              <w:t>aneurysm and acute arterial insufficiency</w:t>
            </w:r>
          </w:p>
        </w:tc>
        <w:tc>
          <w:tcPr>
            <w:tcW w:w="2835" w:type="dxa"/>
            <w:vAlign w:val="center"/>
          </w:tcPr>
          <w:p w14:paraId="5ED89EF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75815B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946FE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AFA3D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70D2BD42" w14:textId="77777777" w:rsidTr="000634AF">
        <w:trPr>
          <w:cantSplit/>
          <w:trHeight w:val="90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7E5A4B4" w14:textId="0FD1704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05B038D" w14:textId="33C15359" w:rsidR="000634AF" w:rsidRPr="000634AF" w:rsidRDefault="000634AF" w:rsidP="000634AF">
            <w:pPr>
              <w:rPr>
                <w:sz w:val="20"/>
                <w:szCs w:val="20"/>
              </w:rPr>
            </w:pPr>
            <w:r w:rsidRPr="000634AF">
              <w:rPr>
                <w:sz w:val="20"/>
                <w:szCs w:val="20"/>
              </w:rPr>
              <w:t>To be able to provide the early care of a patients</w:t>
            </w:r>
          </w:p>
          <w:p w14:paraId="767BD3BB" w14:textId="37830C06" w:rsidR="002E4749" w:rsidRPr="00D73A34" w:rsidRDefault="000634AF" w:rsidP="000634AF">
            <w:pPr>
              <w:rPr>
                <w:sz w:val="20"/>
                <w:szCs w:val="20"/>
              </w:rPr>
            </w:pPr>
            <w:r w:rsidRPr="000634AF">
              <w:rPr>
                <w:sz w:val="20"/>
                <w:szCs w:val="20"/>
              </w:rPr>
              <w:t>presenting with acute urological conditions including acute</w:t>
            </w:r>
            <w:r>
              <w:rPr>
                <w:sz w:val="20"/>
                <w:szCs w:val="20"/>
              </w:rPr>
              <w:t xml:space="preserve"> </w:t>
            </w:r>
            <w:r w:rsidRPr="000634AF">
              <w:rPr>
                <w:sz w:val="20"/>
                <w:szCs w:val="20"/>
              </w:rPr>
              <w:t>urinary retention, ureteric colic, urinary tract infection and</w:t>
            </w:r>
            <w:r>
              <w:rPr>
                <w:sz w:val="20"/>
                <w:szCs w:val="20"/>
              </w:rPr>
              <w:t xml:space="preserve"> </w:t>
            </w:r>
            <w:r w:rsidRPr="000634AF">
              <w:rPr>
                <w:sz w:val="20"/>
                <w:szCs w:val="20"/>
              </w:rPr>
              <w:t>acute testicular pain</w:t>
            </w:r>
          </w:p>
        </w:tc>
        <w:tc>
          <w:tcPr>
            <w:tcW w:w="2835" w:type="dxa"/>
            <w:vAlign w:val="center"/>
          </w:tcPr>
          <w:p w14:paraId="0776B2D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B75FA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DCA3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3892EB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289B83A" w14:textId="77777777" w:rsidTr="00F31BF5">
        <w:trPr>
          <w:cantSplit/>
          <w:trHeight w:val="1191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E20F312" w14:textId="70CD8B24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7B9EC99" w14:textId="1DA608BE" w:rsidR="008F6A51" w:rsidRPr="008F6A51" w:rsidRDefault="008F6A51" w:rsidP="008F6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F6A51">
              <w:rPr>
                <w:sz w:val="20"/>
                <w:szCs w:val="20"/>
              </w:rPr>
              <w:t>o be able to diagnose and manage with appropriate</w:t>
            </w:r>
          </w:p>
          <w:p w14:paraId="12B69A34" w14:textId="77777777" w:rsidR="008F6A51" w:rsidRPr="008F6A51" w:rsidRDefault="008F6A51" w:rsidP="008F6A51">
            <w:pPr>
              <w:rPr>
                <w:sz w:val="20"/>
                <w:szCs w:val="20"/>
              </w:rPr>
            </w:pPr>
            <w:r w:rsidRPr="008F6A51">
              <w:rPr>
                <w:sz w:val="20"/>
                <w:szCs w:val="20"/>
              </w:rPr>
              <w:t>investigations superficial and common acute septic</w:t>
            </w:r>
          </w:p>
          <w:p w14:paraId="03730F89" w14:textId="36F3A9DA" w:rsidR="002E4749" w:rsidRPr="00D73A34" w:rsidRDefault="008F6A51" w:rsidP="00F31BF5">
            <w:pPr>
              <w:rPr>
                <w:sz w:val="20"/>
                <w:szCs w:val="20"/>
              </w:rPr>
            </w:pPr>
            <w:r w:rsidRPr="008F6A51">
              <w:rPr>
                <w:sz w:val="20"/>
                <w:szCs w:val="20"/>
              </w:rPr>
              <w:t>conditions including subcutaneous abscess, cellulitis,</w:t>
            </w:r>
            <w:r w:rsidR="00F31BF5">
              <w:t xml:space="preserve"> </w:t>
            </w:r>
            <w:r w:rsidR="00F31BF5" w:rsidRPr="00F31BF5">
              <w:rPr>
                <w:sz w:val="20"/>
                <w:szCs w:val="20"/>
              </w:rPr>
              <w:t xml:space="preserve">perianal and pilonidal </w:t>
            </w:r>
            <w:proofErr w:type="gramStart"/>
            <w:r w:rsidR="00F31BF5" w:rsidRPr="00F31BF5">
              <w:rPr>
                <w:sz w:val="20"/>
                <w:szCs w:val="20"/>
              </w:rPr>
              <w:t>abscess</w:t>
            </w:r>
            <w:proofErr w:type="gramEnd"/>
            <w:r w:rsidR="00F31BF5" w:rsidRPr="00F31BF5">
              <w:rPr>
                <w:sz w:val="20"/>
                <w:szCs w:val="20"/>
              </w:rPr>
              <w:t xml:space="preserve"> and breast abscess. To be</w:t>
            </w:r>
            <w:r w:rsidR="00F31BF5">
              <w:rPr>
                <w:sz w:val="20"/>
                <w:szCs w:val="20"/>
              </w:rPr>
              <w:t xml:space="preserve"> </w:t>
            </w:r>
            <w:r w:rsidR="00F31BF5" w:rsidRPr="00F31BF5">
              <w:rPr>
                <w:sz w:val="20"/>
                <w:szCs w:val="20"/>
              </w:rPr>
              <w:t>aware of gas gangrene and necrotising fasciitis</w:t>
            </w:r>
          </w:p>
        </w:tc>
        <w:tc>
          <w:tcPr>
            <w:tcW w:w="2835" w:type="dxa"/>
            <w:vAlign w:val="center"/>
          </w:tcPr>
          <w:p w14:paraId="7027A6F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C3DA51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3F3C00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1A5708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1F77C28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A8F5B3" w14:textId="185FD02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BC544C8" w14:textId="2D9C9FB0" w:rsidR="002E4749" w:rsidRPr="00D73A34" w:rsidRDefault="00EF2389" w:rsidP="002E4749">
            <w:pPr>
              <w:rPr>
                <w:sz w:val="20"/>
                <w:szCs w:val="20"/>
              </w:rPr>
            </w:pPr>
            <w:r w:rsidRPr="00EF2389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D821EB">
              <w:rPr>
                <w:sz w:val="20"/>
                <w:szCs w:val="20"/>
              </w:rPr>
              <w:t xml:space="preserve">- </w:t>
            </w:r>
            <w:r w:rsidRPr="00EF2389">
              <w:rPr>
                <w:sz w:val="20"/>
                <w:szCs w:val="20"/>
              </w:rPr>
              <w:t>Chest drain insertion</w:t>
            </w:r>
          </w:p>
        </w:tc>
        <w:tc>
          <w:tcPr>
            <w:tcW w:w="2835" w:type="dxa"/>
            <w:vAlign w:val="center"/>
          </w:tcPr>
          <w:p w14:paraId="59ECA6F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6CD2FC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B0043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9FBBE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29039D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591794B" w14:textId="2EC032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3475D87" w14:textId="5DA0CB70" w:rsidR="002E4749" w:rsidRPr="00D73A34" w:rsidRDefault="00EF2389" w:rsidP="002E4749">
            <w:pPr>
              <w:rPr>
                <w:sz w:val="20"/>
                <w:szCs w:val="20"/>
              </w:rPr>
            </w:pPr>
            <w:r w:rsidRPr="00EF2389">
              <w:rPr>
                <w:b/>
                <w:bCs/>
                <w:sz w:val="20"/>
                <w:szCs w:val="20"/>
              </w:rPr>
              <w:t xml:space="preserve">3 </w:t>
            </w:r>
            <w:r w:rsidR="00D821EB">
              <w:rPr>
                <w:b/>
                <w:bCs/>
                <w:sz w:val="20"/>
                <w:szCs w:val="20"/>
              </w:rPr>
              <w:t xml:space="preserve">- </w:t>
            </w:r>
            <w:r w:rsidRPr="00EF2389">
              <w:rPr>
                <w:sz w:val="20"/>
                <w:szCs w:val="20"/>
              </w:rPr>
              <w:t>Needle biopsy including Fine needle aspiration</w:t>
            </w:r>
          </w:p>
        </w:tc>
        <w:tc>
          <w:tcPr>
            <w:tcW w:w="2835" w:type="dxa"/>
            <w:vAlign w:val="center"/>
          </w:tcPr>
          <w:p w14:paraId="43DBE2A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593F07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77E165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B2B2DF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F46259A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1CC87EBA" w14:textId="1E686C8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42D5D35" w14:textId="0A627A75" w:rsidR="002E4749" w:rsidRPr="00D73A34" w:rsidRDefault="00EF2389" w:rsidP="002E4749">
            <w:pPr>
              <w:rPr>
                <w:sz w:val="20"/>
                <w:szCs w:val="20"/>
              </w:rPr>
            </w:pPr>
            <w:r w:rsidRPr="00EF2389">
              <w:rPr>
                <w:b/>
                <w:bCs/>
                <w:sz w:val="20"/>
                <w:szCs w:val="20"/>
              </w:rPr>
              <w:t>3</w:t>
            </w:r>
            <w:r w:rsidR="00D821EB">
              <w:rPr>
                <w:b/>
                <w:bCs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EF2389">
              <w:rPr>
                <w:sz w:val="20"/>
                <w:szCs w:val="20"/>
              </w:rPr>
              <w:t>Rigid sigmoidoscopy</w:t>
            </w:r>
          </w:p>
        </w:tc>
        <w:tc>
          <w:tcPr>
            <w:tcW w:w="2835" w:type="dxa"/>
            <w:vAlign w:val="center"/>
          </w:tcPr>
          <w:p w14:paraId="2B5D71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AC5EA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5D1F6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2F9412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EC0EAB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21145BC1" w14:textId="27197E3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ED5962C" w14:textId="0CE66067" w:rsidR="002E4749" w:rsidRPr="00D73A34" w:rsidRDefault="00FA7898" w:rsidP="002E4749">
            <w:pPr>
              <w:rPr>
                <w:sz w:val="20"/>
                <w:szCs w:val="20"/>
              </w:rPr>
            </w:pPr>
            <w:r w:rsidRPr="00FA7898"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BF246A">
              <w:rPr>
                <w:sz w:val="20"/>
                <w:szCs w:val="20"/>
              </w:rPr>
              <w:t xml:space="preserve">- </w:t>
            </w:r>
            <w:r w:rsidRPr="00FA7898">
              <w:rPr>
                <w:sz w:val="20"/>
                <w:szCs w:val="20"/>
              </w:rPr>
              <w:t>Excision biopsy of benign skin or subcutaneous lesions</w:t>
            </w:r>
          </w:p>
        </w:tc>
        <w:tc>
          <w:tcPr>
            <w:tcW w:w="2835" w:type="dxa"/>
            <w:vAlign w:val="center"/>
          </w:tcPr>
          <w:p w14:paraId="62EF054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6A95E6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A97CD2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CA5C69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35515D11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0FC6BD56" w14:textId="180CF7A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EE90A7D" w14:textId="78B60B88" w:rsidR="002E4749" w:rsidRPr="00D73A34" w:rsidRDefault="00FA7898" w:rsidP="002E4749">
            <w:pPr>
              <w:rPr>
                <w:sz w:val="20"/>
                <w:szCs w:val="20"/>
              </w:rPr>
            </w:pPr>
            <w:r w:rsidRPr="00FA7898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BF246A">
              <w:rPr>
                <w:sz w:val="20"/>
                <w:szCs w:val="20"/>
              </w:rPr>
              <w:t xml:space="preserve">- </w:t>
            </w:r>
            <w:r w:rsidRPr="00FA7898">
              <w:rPr>
                <w:sz w:val="20"/>
                <w:szCs w:val="20"/>
              </w:rPr>
              <w:t>Outpatient treatment of haemorrhoids</w:t>
            </w:r>
          </w:p>
        </w:tc>
        <w:tc>
          <w:tcPr>
            <w:tcW w:w="2835" w:type="dxa"/>
            <w:vAlign w:val="center"/>
          </w:tcPr>
          <w:p w14:paraId="1D44169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8231C4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601D5C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F73B77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335100D5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5FEC4046" w14:textId="44848C9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4040B746" w14:textId="20F95CCD" w:rsidR="002E4749" w:rsidRPr="00D73A34" w:rsidRDefault="009B4D71" w:rsidP="009B4D71">
            <w:pPr>
              <w:rPr>
                <w:sz w:val="20"/>
                <w:szCs w:val="20"/>
              </w:rPr>
            </w:pPr>
            <w:r w:rsidRPr="009B4D71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BF246A">
              <w:rPr>
                <w:sz w:val="20"/>
                <w:szCs w:val="20"/>
              </w:rPr>
              <w:t xml:space="preserve">- </w:t>
            </w:r>
            <w:r w:rsidRPr="009B4D71">
              <w:rPr>
                <w:sz w:val="20"/>
                <w:szCs w:val="20"/>
              </w:rPr>
              <w:t>Induction of pneumoperitoneum for laparoscopy with</w:t>
            </w:r>
            <w:r w:rsidR="00BF246A">
              <w:rPr>
                <w:sz w:val="20"/>
                <w:szCs w:val="20"/>
              </w:rPr>
              <w:t xml:space="preserve"> </w:t>
            </w:r>
            <w:r w:rsidRPr="009B4D71">
              <w:rPr>
                <w:sz w:val="20"/>
                <w:szCs w:val="20"/>
              </w:rPr>
              <w:t>port placement</w:t>
            </w:r>
          </w:p>
        </w:tc>
        <w:tc>
          <w:tcPr>
            <w:tcW w:w="2835" w:type="dxa"/>
            <w:vAlign w:val="center"/>
          </w:tcPr>
          <w:p w14:paraId="0DC3CC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B9A5BE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BC537D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7FB008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8230452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6511C58C" w14:textId="2C116F8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7C1C038" w14:textId="0D8B4B92" w:rsidR="002E4749" w:rsidRPr="00D73A34" w:rsidRDefault="009B4D71" w:rsidP="002E4749">
            <w:pPr>
              <w:rPr>
                <w:sz w:val="20"/>
                <w:szCs w:val="20"/>
              </w:rPr>
            </w:pPr>
            <w:r w:rsidRPr="009B4D71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BF246A">
              <w:rPr>
                <w:sz w:val="20"/>
                <w:szCs w:val="20"/>
              </w:rPr>
              <w:t xml:space="preserve">- </w:t>
            </w:r>
            <w:r w:rsidRPr="009B4D71">
              <w:rPr>
                <w:sz w:val="20"/>
                <w:szCs w:val="20"/>
              </w:rPr>
              <w:t>Open and close midline laparotomy incision</w:t>
            </w:r>
          </w:p>
        </w:tc>
        <w:tc>
          <w:tcPr>
            <w:tcW w:w="2835" w:type="dxa"/>
            <w:vAlign w:val="center"/>
          </w:tcPr>
          <w:p w14:paraId="7EF7E88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7A0682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FC7487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B333FC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AF3613B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7322B51B" w14:textId="33F0EB4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6644B60" w14:textId="0978DD31" w:rsidR="002E4749" w:rsidRPr="00D73A34" w:rsidRDefault="009B4D71" w:rsidP="002E4749">
            <w:pPr>
              <w:rPr>
                <w:sz w:val="20"/>
                <w:szCs w:val="20"/>
              </w:rPr>
            </w:pPr>
            <w:r w:rsidRPr="009B4D71"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BF246A">
              <w:rPr>
                <w:sz w:val="20"/>
                <w:szCs w:val="20"/>
              </w:rPr>
              <w:t xml:space="preserve">- </w:t>
            </w:r>
            <w:r w:rsidRPr="009B4D71">
              <w:rPr>
                <w:sz w:val="20"/>
                <w:szCs w:val="20"/>
              </w:rPr>
              <w:t>Appendicectomy</w:t>
            </w:r>
          </w:p>
        </w:tc>
        <w:tc>
          <w:tcPr>
            <w:tcW w:w="2835" w:type="dxa"/>
            <w:vAlign w:val="center"/>
          </w:tcPr>
          <w:p w14:paraId="70AC6AB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1866A8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CB0E57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95F600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623A266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0874C303" w14:textId="3C7FF7F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CEE44DC" w14:textId="7C4054BC" w:rsidR="002E4749" w:rsidRPr="00D73A34" w:rsidRDefault="001433DF" w:rsidP="002E4749">
            <w:pPr>
              <w:rPr>
                <w:sz w:val="20"/>
                <w:szCs w:val="20"/>
              </w:rPr>
            </w:pPr>
            <w:r w:rsidRPr="001433DF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BF246A">
              <w:rPr>
                <w:sz w:val="20"/>
                <w:szCs w:val="20"/>
              </w:rPr>
              <w:t xml:space="preserve">- </w:t>
            </w:r>
            <w:r w:rsidRPr="001433DF">
              <w:rPr>
                <w:sz w:val="20"/>
                <w:szCs w:val="20"/>
              </w:rPr>
              <w:t>Inguinal hernia repair</w:t>
            </w:r>
          </w:p>
        </w:tc>
        <w:tc>
          <w:tcPr>
            <w:tcW w:w="2835" w:type="dxa"/>
            <w:vAlign w:val="center"/>
          </w:tcPr>
          <w:p w14:paraId="3BD4829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2A3A0F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3A622A9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30807E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7371217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39E07670" w14:textId="14577B8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DCBD06C" w14:textId="4B2C1263" w:rsidR="002E4749" w:rsidRPr="00D73A34" w:rsidRDefault="001433DF" w:rsidP="002E4749">
            <w:pPr>
              <w:rPr>
                <w:sz w:val="20"/>
                <w:szCs w:val="20"/>
              </w:rPr>
            </w:pPr>
            <w:r w:rsidRPr="001433DF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BF246A">
              <w:rPr>
                <w:sz w:val="20"/>
                <w:szCs w:val="20"/>
              </w:rPr>
              <w:t xml:space="preserve">- </w:t>
            </w:r>
            <w:r w:rsidRPr="001433DF">
              <w:rPr>
                <w:sz w:val="20"/>
                <w:szCs w:val="20"/>
              </w:rPr>
              <w:t>Primary abdominal wall hernia repair</w:t>
            </w:r>
          </w:p>
        </w:tc>
        <w:tc>
          <w:tcPr>
            <w:tcW w:w="2835" w:type="dxa"/>
            <w:vAlign w:val="center"/>
          </w:tcPr>
          <w:p w14:paraId="0F07B2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45748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493816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9D7647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</w:tbl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1B59" w14:textId="77777777" w:rsidR="00692331" w:rsidRDefault="00692331" w:rsidP="0005406F">
      <w:r>
        <w:separator/>
      </w:r>
    </w:p>
  </w:endnote>
  <w:endnote w:type="continuationSeparator" w:id="0">
    <w:p w14:paraId="4A0C84C9" w14:textId="77777777" w:rsidR="00692331" w:rsidRDefault="00692331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81B3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481B36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81B36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481B36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481B36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481B36">
      <w:rPr>
        <w:noProof/>
        <w:sz w:val="16"/>
        <w:szCs w:val="16"/>
      </w:rPr>
      <w:t>4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94CA" w14:textId="77777777" w:rsidR="00692331" w:rsidRDefault="00692331" w:rsidP="0005406F">
      <w:r>
        <w:separator/>
      </w:r>
    </w:p>
  </w:footnote>
  <w:footnote w:type="continuationSeparator" w:id="0">
    <w:p w14:paraId="2219B755" w14:textId="77777777" w:rsidR="00692331" w:rsidRDefault="00692331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2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1D"/>
    <w:rsid w:val="000300F2"/>
    <w:rsid w:val="00034ECB"/>
    <w:rsid w:val="0005406F"/>
    <w:rsid w:val="000634AF"/>
    <w:rsid w:val="00125BE7"/>
    <w:rsid w:val="001433DF"/>
    <w:rsid w:val="001D1409"/>
    <w:rsid w:val="0028485B"/>
    <w:rsid w:val="00287B12"/>
    <w:rsid w:val="002B0C13"/>
    <w:rsid w:val="002C6AB7"/>
    <w:rsid w:val="002E4749"/>
    <w:rsid w:val="003C2BE7"/>
    <w:rsid w:val="003E287E"/>
    <w:rsid w:val="003F4A75"/>
    <w:rsid w:val="004056B2"/>
    <w:rsid w:val="00481B36"/>
    <w:rsid w:val="004C125C"/>
    <w:rsid w:val="004C369A"/>
    <w:rsid w:val="004D14A9"/>
    <w:rsid w:val="004D6FA1"/>
    <w:rsid w:val="004E7093"/>
    <w:rsid w:val="004F218F"/>
    <w:rsid w:val="00504524"/>
    <w:rsid w:val="00513B2A"/>
    <w:rsid w:val="00541681"/>
    <w:rsid w:val="00552F06"/>
    <w:rsid w:val="005D5A94"/>
    <w:rsid w:val="006273EF"/>
    <w:rsid w:val="0068586D"/>
    <w:rsid w:val="00690BE8"/>
    <w:rsid w:val="00692331"/>
    <w:rsid w:val="006D752A"/>
    <w:rsid w:val="006F31B7"/>
    <w:rsid w:val="007205B9"/>
    <w:rsid w:val="00743882"/>
    <w:rsid w:val="00746184"/>
    <w:rsid w:val="007B19D7"/>
    <w:rsid w:val="007E2EB8"/>
    <w:rsid w:val="007E523A"/>
    <w:rsid w:val="008011BF"/>
    <w:rsid w:val="0086291C"/>
    <w:rsid w:val="00885401"/>
    <w:rsid w:val="008B6418"/>
    <w:rsid w:val="008E5759"/>
    <w:rsid w:val="008F6A51"/>
    <w:rsid w:val="00954E80"/>
    <w:rsid w:val="00986492"/>
    <w:rsid w:val="00993579"/>
    <w:rsid w:val="009B4D71"/>
    <w:rsid w:val="00A03527"/>
    <w:rsid w:val="00A21BA9"/>
    <w:rsid w:val="00A323D8"/>
    <w:rsid w:val="00A423BB"/>
    <w:rsid w:val="00A5187E"/>
    <w:rsid w:val="00A67F66"/>
    <w:rsid w:val="00A72192"/>
    <w:rsid w:val="00A97C50"/>
    <w:rsid w:val="00B137AF"/>
    <w:rsid w:val="00BF246A"/>
    <w:rsid w:val="00CA5327"/>
    <w:rsid w:val="00CA5579"/>
    <w:rsid w:val="00D113D7"/>
    <w:rsid w:val="00D65625"/>
    <w:rsid w:val="00D712C3"/>
    <w:rsid w:val="00D73A34"/>
    <w:rsid w:val="00D821EB"/>
    <w:rsid w:val="00DA3C04"/>
    <w:rsid w:val="00E3451B"/>
    <w:rsid w:val="00ED4E75"/>
    <w:rsid w:val="00EF2389"/>
    <w:rsid w:val="00F10ECB"/>
    <w:rsid w:val="00F31BF5"/>
    <w:rsid w:val="00F3431D"/>
    <w:rsid w:val="00F436DF"/>
    <w:rsid w:val="00F8149C"/>
    <w:rsid w:val="00FA7898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docId w15:val="{D03412F3-C0FF-4885-B468-84F7FC7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1D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016FF-5A72-48C0-AF55-A5C8D72F8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FE7F6-B113-4CBE-AFB4-B15F13756F67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e81d2a45-0310-43d2-8eb7-1e6cc083662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702685c-4179-409e-8537-94bd9ae95a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11</cp:revision>
  <dcterms:created xsi:type="dcterms:W3CDTF">2021-07-21T11:44:00Z</dcterms:created>
  <dcterms:modified xsi:type="dcterms:W3CDTF">2021-07-22T07:24:00Z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