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1342" w14:textId="77777777" w:rsidR="003C0C88" w:rsidRDefault="00C209A9" w:rsidP="003C0C88">
      <w:pPr>
        <w:autoSpaceDE w:val="0"/>
        <w:autoSpaceDN w:val="0"/>
        <w:adjustRightInd w:val="0"/>
        <w:ind w:hanging="720"/>
        <w:jc w:val="right"/>
        <w:rPr>
          <w:bCs/>
          <w:color w:val="000000"/>
          <w:sz w:val="28"/>
          <w:szCs w:val="28"/>
        </w:rPr>
      </w:pPr>
      <w:r>
        <w:rPr>
          <w:bCs/>
          <w:color w:val="000000"/>
          <w:sz w:val="28"/>
          <w:szCs w:val="28"/>
        </w:rPr>
        <w:t xml:space="preserve"> </w:t>
      </w:r>
      <w:r>
        <w:rPr>
          <w:bCs/>
          <w:color w:val="000000"/>
          <w:sz w:val="28"/>
          <w:szCs w:val="28"/>
        </w:rPr>
        <w:tab/>
      </w:r>
    </w:p>
    <w:p w14:paraId="15A18F77" w14:textId="77777777" w:rsidR="003616F4" w:rsidRDefault="003616F4" w:rsidP="003C0C88">
      <w:pPr>
        <w:autoSpaceDE w:val="0"/>
        <w:autoSpaceDN w:val="0"/>
        <w:adjustRightInd w:val="0"/>
        <w:ind w:hanging="720"/>
        <w:jc w:val="right"/>
        <w:rPr>
          <w:bCs/>
          <w:color w:val="000000"/>
          <w:sz w:val="28"/>
          <w:szCs w:val="28"/>
        </w:rPr>
      </w:pPr>
    </w:p>
    <w:p w14:paraId="72097C74" w14:textId="77777777" w:rsidR="003616F4" w:rsidRDefault="003616F4" w:rsidP="003C0C88">
      <w:pPr>
        <w:autoSpaceDE w:val="0"/>
        <w:autoSpaceDN w:val="0"/>
        <w:adjustRightInd w:val="0"/>
        <w:ind w:hanging="720"/>
        <w:jc w:val="right"/>
        <w:rPr>
          <w:bCs/>
          <w:color w:val="000000"/>
          <w:sz w:val="28"/>
          <w:szCs w:val="28"/>
        </w:rPr>
      </w:pPr>
    </w:p>
    <w:p w14:paraId="70F85F21" w14:textId="77777777" w:rsidR="003616F4" w:rsidRDefault="003616F4" w:rsidP="003C0C88">
      <w:pPr>
        <w:autoSpaceDE w:val="0"/>
        <w:autoSpaceDN w:val="0"/>
        <w:adjustRightInd w:val="0"/>
        <w:ind w:hanging="720"/>
        <w:jc w:val="right"/>
        <w:rPr>
          <w:bCs/>
          <w:color w:val="000000"/>
          <w:sz w:val="28"/>
          <w:szCs w:val="28"/>
        </w:rPr>
      </w:pPr>
    </w:p>
    <w:p w14:paraId="036671E6" w14:textId="77777777" w:rsidR="00C212E1" w:rsidRDefault="00C212E1" w:rsidP="00031BD5">
      <w:pPr>
        <w:autoSpaceDE w:val="0"/>
        <w:autoSpaceDN w:val="0"/>
        <w:adjustRightInd w:val="0"/>
        <w:spacing w:line="360" w:lineRule="auto"/>
        <w:rPr>
          <w:b/>
          <w:bCs/>
          <w:color w:val="000000"/>
          <w:sz w:val="28"/>
          <w:szCs w:val="28"/>
        </w:rPr>
      </w:pPr>
    </w:p>
    <w:p w14:paraId="0C2C303E" w14:textId="77777777" w:rsidR="00C212E1" w:rsidRDefault="00C212E1" w:rsidP="00031BD5">
      <w:pPr>
        <w:autoSpaceDE w:val="0"/>
        <w:autoSpaceDN w:val="0"/>
        <w:adjustRightInd w:val="0"/>
        <w:spacing w:line="360" w:lineRule="auto"/>
        <w:rPr>
          <w:b/>
          <w:bCs/>
          <w:color w:val="000000"/>
          <w:sz w:val="28"/>
          <w:szCs w:val="28"/>
        </w:rPr>
      </w:pPr>
    </w:p>
    <w:p w14:paraId="16436A08" w14:textId="77777777" w:rsidR="00C212E1" w:rsidRDefault="00C212E1" w:rsidP="00031BD5">
      <w:pPr>
        <w:autoSpaceDE w:val="0"/>
        <w:autoSpaceDN w:val="0"/>
        <w:adjustRightInd w:val="0"/>
        <w:spacing w:line="360" w:lineRule="auto"/>
        <w:rPr>
          <w:b/>
          <w:bCs/>
          <w:color w:val="000000"/>
          <w:sz w:val="28"/>
          <w:szCs w:val="28"/>
        </w:rPr>
      </w:pPr>
    </w:p>
    <w:p w14:paraId="33476E87" w14:textId="62EAD51C" w:rsidR="0022475A" w:rsidRPr="0022475A" w:rsidRDefault="0022475A" w:rsidP="0022475A">
      <w:pPr>
        <w:autoSpaceDE w:val="0"/>
        <w:autoSpaceDN w:val="0"/>
        <w:adjustRightInd w:val="0"/>
        <w:spacing w:line="360" w:lineRule="auto"/>
        <w:jc w:val="center"/>
        <w:rPr>
          <w:b/>
          <w:bCs/>
          <w:iCs/>
          <w:sz w:val="28"/>
          <w:szCs w:val="28"/>
        </w:rPr>
      </w:pPr>
      <w:r w:rsidRPr="0022475A">
        <w:rPr>
          <w:b/>
          <w:bCs/>
          <w:iCs/>
          <w:sz w:val="28"/>
          <w:szCs w:val="28"/>
        </w:rPr>
        <w:t xml:space="preserve">North West of England </w:t>
      </w:r>
      <w:r w:rsidR="00194E25">
        <w:rPr>
          <w:b/>
          <w:bCs/>
          <w:iCs/>
          <w:sz w:val="28"/>
          <w:szCs w:val="28"/>
        </w:rPr>
        <w:t xml:space="preserve">School of </w:t>
      </w:r>
      <w:r w:rsidRPr="0022475A">
        <w:rPr>
          <w:b/>
          <w:bCs/>
          <w:iCs/>
          <w:sz w:val="28"/>
          <w:szCs w:val="28"/>
        </w:rPr>
        <w:t xml:space="preserve">Foundation </w:t>
      </w:r>
      <w:r w:rsidR="00194E25">
        <w:rPr>
          <w:b/>
          <w:bCs/>
          <w:iCs/>
          <w:sz w:val="28"/>
          <w:szCs w:val="28"/>
        </w:rPr>
        <w:t>Training and Physician Associates</w:t>
      </w:r>
    </w:p>
    <w:p w14:paraId="5667FEAB" w14:textId="77777777" w:rsidR="00C212E1" w:rsidRDefault="00C212E1" w:rsidP="00031BD5">
      <w:pPr>
        <w:autoSpaceDE w:val="0"/>
        <w:autoSpaceDN w:val="0"/>
        <w:adjustRightInd w:val="0"/>
        <w:spacing w:line="360" w:lineRule="auto"/>
        <w:rPr>
          <w:b/>
          <w:bCs/>
          <w:color w:val="000000"/>
          <w:sz w:val="28"/>
          <w:szCs w:val="28"/>
        </w:rPr>
      </w:pPr>
    </w:p>
    <w:p w14:paraId="6EA1C6DA" w14:textId="77777777" w:rsidR="00C212E1" w:rsidRPr="00C212E1" w:rsidRDefault="003616F4" w:rsidP="00C212E1">
      <w:pPr>
        <w:autoSpaceDE w:val="0"/>
        <w:autoSpaceDN w:val="0"/>
        <w:adjustRightInd w:val="0"/>
        <w:spacing w:line="360" w:lineRule="auto"/>
        <w:jc w:val="center"/>
        <w:rPr>
          <w:b/>
          <w:bCs/>
          <w:color w:val="000000"/>
          <w:sz w:val="40"/>
          <w:szCs w:val="40"/>
        </w:rPr>
      </w:pPr>
      <w:r>
        <w:rPr>
          <w:b/>
          <w:bCs/>
          <w:color w:val="000000"/>
          <w:sz w:val="40"/>
          <w:szCs w:val="40"/>
        </w:rPr>
        <w:t xml:space="preserve">Foundation </w:t>
      </w:r>
      <w:r w:rsidR="00C212E1" w:rsidRPr="00C212E1">
        <w:rPr>
          <w:b/>
          <w:bCs/>
          <w:color w:val="000000"/>
          <w:sz w:val="40"/>
          <w:szCs w:val="40"/>
        </w:rPr>
        <w:t>Complaints/Appeals process</w:t>
      </w:r>
      <w:r w:rsidR="00C8056C">
        <w:rPr>
          <w:b/>
          <w:bCs/>
          <w:color w:val="000000"/>
          <w:sz w:val="40"/>
          <w:szCs w:val="40"/>
        </w:rPr>
        <w:t>es</w:t>
      </w:r>
    </w:p>
    <w:p w14:paraId="4F568624" w14:textId="77777777" w:rsidR="00C212E1" w:rsidRDefault="00C212E1" w:rsidP="00031BD5">
      <w:pPr>
        <w:autoSpaceDE w:val="0"/>
        <w:autoSpaceDN w:val="0"/>
        <w:adjustRightInd w:val="0"/>
        <w:spacing w:line="360" w:lineRule="auto"/>
        <w:rPr>
          <w:b/>
          <w:bCs/>
          <w:color w:val="000000"/>
          <w:sz w:val="28"/>
          <w:szCs w:val="28"/>
        </w:rPr>
      </w:pPr>
    </w:p>
    <w:p w14:paraId="4564F11D" w14:textId="77777777" w:rsidR="0022475A" w:rsidRDefault="0022475A" w:rsidP="00031BD5">
      <w:pPr>
        <w:autoSpaceDE w:val="0"/>
        <w:autoSpaceDN w:val="0"/>
        <w:adjustRightInd w:val="0"/>
        <w:spacing w:line="360" w:lineRule="auto"/>
        <w:rPr>
          <w:b/>
          <w:bCs/>
          <w:color w:val="000000"/>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785"/>
      </w:tblGrid>
      <w:tr w:rsidR="0022475A" w:rsidRPr="0022475A" w14:paraId="0C9FFF8C" w14:textId="77777777" w:rsidTr="00A80E69">
        <w:trPr>
          <w:trHeight w:val="454"/>
          <w:jc w:val="center"/>
        </w:trPr>
        <w:tc>
          <w:tcPr>
            <w:tcW w:w="4503" w:type="dxa"/>
            <w:tcBorders>
              <w:top w:val="single" w:sz="4" w:space="0" w:color="auto"/>
              <w:left w:val="single" w:sz="4" w:space="0" w:color="auto"/>
              <w:bottom w:val="single" w:sz="4" w:space="0" w:color="auto"/>
              <w:right w:val="single" w:sz="4" w:space="0" w:color="auto"/>
            </w:tcBorders>
            <w:vAlign w:val="center"/>
          </w:tcPr>
          <w:p w14:paraId="4C82BDCD" w14:textId="77777777" w:rsidR="0022475A" w:rsidRPr="0022475A" w:rsidRDefault="0022475A" w:rsidP="0022475A">
            <w:r w:rsidRPr="0022475A">
              <w:t>Version/Author/Publication Date</w:t>
            </w:r>
          </w:p>
        </w:tc>
        <w:tc>
          <w:tcPr>
            <w:tcW w:w="4785" w:type="dxa"/>
            <w:tcBorders>
              <w:top w:val="single" w:sz="4" w:space="0" w:color="auto"/>
              <w:left w:val="single" w:sz="4" w:space="0" w:color="auto"/>
              <w:bottom w:val="single" w:sz="4" w:space="0" w:color="auto"/>
              <w:right w:val="single" w:sz="4" w:space="0" w:color="auto"/>
            </w:tcBorders>
            <w:vAlign w:val="center"/>
          </w:tcPr>
          <w:p w14:paraId="4EB83A43" w14:textId="52D6A7DD" w:rsidR="0022475A" w:rsidRPr="0022475A" w:rsidRDefault="00194E25" w:rsidP="0022475A">
            <w:r>
              <w:t>v</w:t>
            </w:r>
            <w:r w:rsidR="0022475A" w:rsidRPr="0022475A">
              <w:t>1.</w:t>
            </w:r>
            <w:r w:rsidR="0022475A">
              <w:t>HENW</w:t>
            </w:r>
            <w:r w:rsidR="0022475A" w:rsidRPr="0022475A">
              <w:t>.</w:t>
            </w:r>
            <w:r w:rsidR="0022475A">
              <w:t>March11</w:t>
            </w:r>
          </w:p>
        </w:tc>
      </w:tr>
      <w:tr w:rsidR="0022475A" w:rsidRPr="0022475A" w14:paraId="39CE23FF" w14:textId="77777777" w:rsidTr="00A80E69">
        <w:trPr>
          <w:trHeight w:val="454"/>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711B6437" w14:textId="77777777" w:rsidR="0022475A" w:rsidRPr="0022475A" w:rsidRDefault="0022475A" w:rsidP="0022475A">
            <w:r w:rsidRPr="0022475A">
              <w:t xml:space="preserve">Version/Reviewer/Review Date </w:t>
            </w:r>
          </w:p>
        </w:tc>
        <w:tc>
          <w:tcPr>
            <w:tcW w:w="4785" w:type="dxa"/>
            <w:tcBorders>
              <w:top w:val="single" w:sz="4" w:space="0" w:color="auto"/>
              <w:left w:val="single" w:sz="4" w:space="0" w:color="auto"/>
              <w:bottom w:val="single" w:sz="4" w:space="0" w:color="auto"/>
              <w:right w:val="single" w:sz="4" w:space="0" w:color="auto"/>
            </w:tcBorders>
            <w:vAlign w:val="center"/>
            <w:hideMark/>
          </w:tcPr>
          <w:p w14:paraId="42E08153" w14:textId="34587445" w:rsidR="0022475A" w:rsidRPr="0022475A" w:rsidRDefault="00194E25" w:rsidP="0022475A">
            <w:r>
              <w:t>v2</w:t>
            </w:r>
            <w:r w:rsidR="0022475A" w:rsidRPr="0022475A">
              <w:t>.JBaines.Dec15</w:t>
            </w:r>
          </w:p>
        </w:tc>
      </w:tr>
      <w:tr w:rsidR="00194E25" w:rsidRPr="0022475A" w14:paraId="676A5D0B" w14:textId="77777777" w:rsidTr="00A80E69">
        <w:trPr>
          <w:trHeight w:val="454"/>
          <w:jc w:val="center"/>
        </w:trPr>
        <w:tc>
          <w:tcPr>
            <w:tcW w:w="4503" w:type="dxa"/>
            <w:tcBorders>
              <w:top w:val="single" w:sz="4" w:space="0" w:color="auto"/>
              <w:left w:val="single" w:sz="4" w:space="0" w:color="auto"/>
              <w:bottom w:val="single" w:sz="4" w:space="0" w:color="auto"/>
              <w:right w:val="single" w:sz="4" w:space="0" w:color="auto"/>
            </w:tcBorders>
            <w:vAlign w:val="center"/>
          </w:tcPr>
          <w:p w14:paraId="47E9BBB3" w14:textId="747E8C7C" w:rsidR="00194E25" w:rsidRPr="0022475A" w:rsidRDefault="00194E25" w:rsidP="0022475A">
            <w:r w:rsidRPr="0022475A">
              <w:t>Version/Reviewer/Review Date</w:t>
            </w:r>
          </w:p>
        </w:tc>
        <w:tc>
          <w:tcPr>
            <w:tcW w:w="4785" w:type="dxa"/>
            <w:tcBorders>
              <w:top w:val="single" w:sz="4" w:space="0" w:color="auto"/>
              <w:left w:val="single" w:sz="4" w:space="0" w:color="auto"/>
              <w:bottom w:val="single" w:sz="4" w:space="0" w:color="auto"/>
              <w:right w:val="single" w:sz="4" w:space="0" w:color="auto"/>
            </w:tcBorders>
            <w:vAlign w:val="center"/>
          </w:tcPr>
          <w:p w14:paraId="6CD2A0A9" w14:textId="735EFA65" w:rsidR="00194E25" w:rsidRPr="0022475A" w:rsidRDefault="00194E25" w:rsidP="0022475A">
            <w:r>
              <w:t>v3.JPhazey-Baines.Dec25</w:t>
            </w:r>
          </w:p>
        </w:tc>
      </w:tr>
    </w:tbl>
    <w:p w14:paraId="3447B51F" w14:textId="77777777" w:rsidR="0022475A" w:rsidRDefault="0022475A" w:rsidP="00031BD5">
      <w:pPr>
        <w:autoSpaceDE w:val="0"/>
        <w:autoSpaceDN w:val="0"/>
        <w:adjustRightInd w:val="0"/>
        <w:spacing w:line="360" w:lineRule="auto"/>
        <w:rPr>
          <w:b/>
          <w:bCs/>
          <w:color w:val="000000"/>
          <w:sz w:val="28"/>
          <w:szCs w:val="28"/>
        </w:rPr>
      </w:pPr>
    </w:p>
    <w:p w14:paraId="3DFC24AD" w14:textId="77777777" w:rsidR="00C212E1" w:rsidRDefault="00C212E1" w:rsidP="00C212E1">
      <w:pPr>
        <w:autoSpaceDE w:val="0"/>
        <w:autoSpaceDN w:val="0"/>
        <w:adjustRightInd w:val="0"/>
        <w:spacing w:line="360" w:lineRule="auto"/>
        <w:rPr>
          <w:b/>
          <w:bCs/>
          <w:iCs/>
          <w:sz w:val="28"/>
          <w:szCs w:val="28"/>
        </w:rPr>
      </w:pPr>
    </w:p>
    <w:p w14:paraId="0D17E674" w14:textId="77777777" w:rsidR="0022475A" w:rsidRDefault="0022475A" w:rsidP="00C212E1">
      <w:pPr>
        <w:autoSpaceDE w:val="0"/>
        <w:autoSpaceDN w:val="0"/>
        <w:adjustRightInd w:val="0"/>
        <w:spacing w:line="360" w:lineRule="auto"/>
        <w:rPr>
          <w:b/>
          <w:bCs/>
          <w:iCs/>
          <w:sz w:val="28"/>
          <w:szCs w:val="28"/>
        </w:rPr>
      </w:pPr>
    </w:p>
    <w:p w14:paraId="68F0AF4E" w14:textId="77777777" w:rsidR="0022475A" w:rsidRDefault="0022475A" w:rsidP="00C212E1">
      <w:pPr>
        <w:autoSpaceDE w:val="0"/>
        <w:autoSpaceDN w:val="0"/>
        <w:adjustRightInd w:val="0"/>
        <w:spacing w:line="360" w:lineRule="auto"/>
        <w:rPr>
          <w:b/>
          <w:bCs/>
          <w:iCs/>
          <w:sz w:val="28"/>
          <w:szCs w:val="28"/>
        </w:rPr>
      </w:pPr>
    </w:p>
    <w:p w14:paraId="748221E4" w14:textId="77777777" w:rsidR="00C212E1" w:rsidRDefault="00C212E1" w:rsidP="00031BD5">
      <w:pPr>
        <w:autoSpaceDE w:val="0"/>
        <w:autoSpaceDN w:val="0"/>
        <w:adjustRightInd w:val="0"/>
        <w:spacing w:line="360" w:lineRule="auto"/>
        <w:rPr>
          <w:b/>
          <w:bCs/>
          <w:color w:val="000000"/>
          <w:sz w:val="28"/>
          <w:szCs w:val="28"/>
        </w:rPr>
      </w:pPr>
    </w:p>
    <w:p w14:paraId="3F5B30DF" w14:textId="77777777" w:rsidR="00C212E1" w:rsidRDefault="00C212E1" w:rsidP="00031BD5">
      <w:pPr>
        <w:autoSpaceDE w:val="0"/>
        <w:autoSpaceDN w:val="0"/>
        <w:adjustRightInd w:val="0"/>
        <w:spacing w:line="360" w:lineRule="auto"/>
        <w:rPr>
          <w:b/>
          <w:bCs/>
          <w:color w:val="000000"/>
          <w:sz w:val="28"/>
          <w:szCs w:val="28"/>
        </w:rPr>
      </w:pPr>
    </w:p>
    <w:p w14:paraId="286EBD65" w14:textId="77777777" w:rsidR="00C212E1" w:rsidRDefault="00C212E1" w:rsidP="00031BD5">
      <w:pPr>
        <w:autoSpaceDE w:val="0"/>
        <w:autoSpaceDN w:val="0"/>
        <w:adjustRightInd w:val="0"/>
        <w:spacing w:line="360" w:lineRule="auto"/>
        <w:rPr>
          <w:b/>
          <w:bCs/>
          <w:color w:val="000000"/>
          <w:sz w:val="28"/>
          <w:szCs w:val="28"/>
        </w:rPr>
      </w:pPr>
    </w:p>
    <w:p w14:paraId="3B649220" w14:textId="77777777" w:rsidR="00C212E1" w:rsidRDefault="00C212E1" w:rsidP="00031BD5">
      <w:pPr>
        <w:autoSpaceDE w:val="0"/>
        <w:autoSpaceDN w:val="0"/>
        <w:adjustRightInd w:val="0"/>
        <w:spacing w:line="360" w:lineRule="auto"/>
        <w:rPr>
          <w:b/>
          <w:bCs/>
          <w:color w:val="000000"/>
          <w:sz w:val="28"/>
          <w:szCs w:val="28"/>
        </w:rPr>
      </w:pPr>
    </w:p>
    <w:p w14:paraId="1C46A593" w14:textId="77777777" w:rsidR="00C212E1" w:rsidRDefault="00C212E1" w:rsidP="00031BD5">
      <w:pPr>
        <w:autoSpaceDE w:val="0"/>
        <w:autoSpaceDN w:val="0"/>
        <w:adjustRightInd w:val="0"/>
        <w:spacing w:line="360" w:lineRule="auto"/>
        <w:rPr>
          <w:b/>
          <w:bCs/>
          <w:color w:val="000000"/>
          <w:sz w:val="28"/>
          <w:szCs w:val="28"/>
        </w:rPr>
      </w:pPr>
    </w:p>
    <w:p w14:paraId="5D4ACAF9" w14:textId="77777777" w:rsidR="00C212E1" w:rsidRDefault="00C212E1" w:rsidP="00031BD5">
      <w:pPr>
        <w:autoSpaceDE w:val="0"/>
        <w:autoSpaceDN w:val="0"/>
        <w:adjustRightInd w:val="0"/>
        <w:spacing w:line="360" w:lineRule="auto"/>
        <w:rPr>
          <w:b/>
          <w:bCs/>
          <w:color w:val="000000"/>
          <w:sz w:val="28"/>
          <w:szCs w:val="28"/>
        </w:rPr>
      </w:pPr>
    </w:p>
    <w:p w14:paraId="195992BE" w14:textId="77777777" w:rsidR="00C212E1" w:rsidRDefault="00C212E1" w:rsidP="00031BD5">
      <w:pPr>
        <w:autoSpaceDE w:val="0"/>
        <w:autoSpaceDN w:val="0"/>
        <w:adjustRightInd w:val="0"/>
        <w:spacing w:line="360" w:lineRule="auto"/>
        <w:rPr>
          <w:b/>
          <w:bCs/>
          <w:color w:val="000000"/>
          <w:sz w:val="28"/>
          <w:szCs w:val="28"/>
        </w:rPr>
      </w:pPr>
    </w:p>
    <w:p w14:paraId="1C5F4629" w14:textId="77777777" w:rsidR="00C212E1" w:rsidRDefault="00C212E1" w:rsidP="00031BD5">
      <w:pPr>
        <w:autoSpaceDE w:val="0"/>
        <w:autoSpaceDN w:val="0"/>
        <w:adjustRightInd w:val="0"/>
        <w:spacing w:line="360" w:lineRule="auto"/>
        <w:rPr>
          <w:b/>
          <w:bCs/>
          <w:color w:val="000000"/>
          <w:sz w:val="28"/>
          <w:szCs w:val="28"/>
        </w:rPr>
      </w:pPr>
    </w:p>
    <w:p w14:paraId="0E136325" w14:textId="77777777" w:rsidR="00C212E1" w:rsidRDefault="00C212E1" w:rsidP="00031BD5">
      <w:pPr>
        <w:autoSpaceDE w:val="0"/>
        <w:autoSpaceDN w:val="0"/>
        <w:adjustRightInd w:val="0"/>
        <w:spacing w:line="360" w:lineRule="auto"/>
        <w:rPr>
          <w:b/>
          <w:bCs/>
          <w:color w:val="000000"/>
          <w:sz w:val="28"/>
          <w:szCs w:val="28"/>
        </w:rPr>
      </w:pPr>
    </w:p>
    <w:p w14:paraId="18CF4A86" w14:textId="77777777" w:rsidR="00C212E1" w:rsidRDefault="00C212E1" w:rsidP="00031BD5">
      <w:pPr>
        <w:autoSpaceDE w:val="0"/>
        <w:autoSpaceDN w:val="0"/>
        <w:adjustRightInd w:val="0"/>
        <w:spacing w:line="360" w:lineRule="auto"/>
        <w:rPr>
          <w:b/>
          <w:bCs/>
          <w:color w:val="000000"/>
          <w:sz w:val="28"/>
          <w:szCs w:val="28"/>
        </w:rPr>
      </w:pPr>
    </w:p>
    <w:p w14:paraId="636AC67A" w14:textId="77777777" w:rsidR="00C212E1" w:rsidRDefault="00C212E1" w:rsidP="00031BD5">
      <w:pPr>
        <w:autoSpaceDE w:val="0"/>
        <w:autoSpaceDN w:val="0"/>
        <w:adjustRightInd w:val="0"/>
        <w:spacing w:line="360" w:lineRule="auto"/>
        <w:rPr>
          <w:b/>
          <w:bCs/>
          <w:color w:val="000000"/>
          <w:sz w:val="28"/>
          <w:szCs w:val="28"/>
        </w:rPr>
      </w:pPr>
    </w:p>
    <w:p w14:paraId="124D2152" w14:textId="77777777" w:rsidR="003616F4" w:rsidRDefault="003616F4" w:rsidP="00031BD5">
      <w:pPr>
        <w:autoSpaceDE w:val="0"/>
        <w:autoSpaceDN w:val="0"/>
        <w:adjustRightInd w:val="0"/>
        <w:spacing w:line="360" w:lineRule="auto"/>
        <w:rPr>
          <w:b/>
          <w:bCs/>
          <w:color w:val="000000"/>
          <w:sz w:val="28"/>
          <w:szCs w:val="28"/>
        </w:rPr>
      </w:pPr>
    </w:p>
    <w:p w14:paraId="340408F4" w14:textId="77777777" w:rsidR="005C0241" w:rsidRPr="00194E25" w:rsidRDefault="003616F4" w:rsidP="00031BD5">
      <w:pPr>
        <w:autoSpaceDE w:val="0"/>
        <w:autoSpaceDN w:val="0"/>
        <w:adjustRightInd w:val="0"/>
        <w:spacing w:line="360" w:lineRule="auto"/>
        <w:rPr>
          <w:b/>
          <w:bCs/>
          <w:color w:val="000000"/>
        </w:rPr>
      </w:pPr>
      <w:r w:rsidRPr="00194E25">
        <w:rPr>
          <w:b/>
          <w:bCs/>
          <w:color w:val="000000"/>
        </w:rPr>
        <w:t xml:space="preserve">Foundation </w:t>
      </w:r>
      <w:r w:rsidR="00A720E1" w:rsidRPr="00194E25">
        <w:rPr>
          <w:b/>
          <w:bCs/>
          <w:color w:val="000000"/>
        </w:rPr>
        <w:t>Complaints/</w:t>
      </w:r>
      <w:r w:rsidR="00194E84" w:rsidRPr="00194E25">
        <w:rPr>
          <w:b/>
          <w:bCs/>
          <w:color w:val="000000"/>
        </w:rPr>
        <w:t>Appeals</w:t>
      </w:r>
      <w:r w:rsidR="00F1501F" w:rsidRPr="00194E25">
        <w:rPr>
          <w:b/>
          <w:bCs/>
          <w:color w:val="000000"/>
        </w:rPr>
        <w:t xml:space="preserve"> process</w:t>
      </w:r>
      <w:r w:rsidR="00C8056C" w:rsidRPr="00194E25">
        <w:rPr>
          <w:b/>
          <w:bCs/>
          <w:color w:val="000000"/>
        </w:rPr>
        <w:t>es</w:t>
      </w:r>
      <w:r w:rsidR="00DC248F" w:rsidRPr="00194E25">
        <w:rPr>
          <w:b/>
          <w:bCs/>
          <w:color w:val="000000"/>
        </w:rPr>
        <w:t xml:space="preserve"> </w:t>
      </w:r>
    </w:p>
    <w:p w14:paraId="19D83B08" w14:textId="77777777" w:rsidR="00194E84" w:rsidRPr="00194E25" w:rsidRDefault="00194E84" w:rsidP="00031BD5">
      <w:pPr>
        <w:autoSpaceDE w:val="0"/>
        <w:autoSpaceDN w:val="0"/>
        <w:adjustRightInd w:val="0"/>
        <w:spacing w:line="360" w:lineRule="auto"/>
        <w:ind w:left="360" w:hanging="720"/>
        <w:jc w:val="both"/>
        <w:rPr>
          <w:bCs/>
          <w:color w:val="000000"/>
        </w:rPr>
      </w:pPr>
    </w:p>
    <w:p w14:paraId="175D52D6" w14:textId="74B306A5" w:rsidR="00451CD3" w:rsidRPr="00194E25" w:rsidRDefault="00B010B8" w:rsidP="00031BD5">
      <w:pPr>
        <w:autoSpaceDE w:val="0"/>
        <w:autoSpaceDN w:val="0"/>
        <w:adjustRightInd w:val="0"/>
        <w:spacing w:line="360" w:lineRule="auto"/>
        <w:jc w:val="both"/>
      </w:pPr>
      <w:r>
        <w:t xml:space="preserve">A </w:t>
      </w:r>
      <w:r w:rsidR="00FA06DA" w:rsidRPr="00194E25">
        <w:t xml:space="preserve">Foundation </w:t>
      </w:r>
      <w:r>
        <w:t>D</w:t>
      </w:r>
      <w:r w:rsidR="00FA06DA" w:rsidRPr="00194E25">
        <w:t>octor</w:t>
      </w:r>
      <w:r>
        <w:t xml:space="preserve"> (FD)</w:t>
      </w:r>
      <w:r w:rsidR="00DC248F" w:rsidRPr="00194E25">
        <w:t xml:space="preserve"> ha</w:t>
      </w:r>
      <w:r>
        <w:t xml:space="preserve">s </w:t>
      </w:r>
      <w:r w:rsidR="00DC248F" w:rsidRPr="00194E25">
        <w:t>the right to</w:t>
      </w:r>
      <w:r w:rsidR="00A720E1" w:rsidRPr="00194E25">
        <w:t xml:space="preserve"> complain and/or lodge an appeal</w:t>
      </w:r>
      <w:r w:rsidR="00DC248F" w:rsidRPr="00194E25">
        <w:t xml:space="preserve"> wherever </w:t>
      </w:r>
      <w:r w:rsidR="00451CD3" w:rsidRPr="00194E25">
        <w:t>they are</w:t>
      </w:r>
      <w:r w:rsidR="00DC248F" w:rsidRPr="00194E25">
        <w:t xml:space="preserve"> able to </w:t>
      </w:r>
      <w:r w:rsidR="00C60FCD" w:rsidRPr="00194E25">
        <w:t xml:space="preserve">show that </w:t>
      </w:r>
      <w:r w:rsidR="00451CD3" w:rsidRPr="00194E25">
        <w:t>a procedure</w:t>
      </w:r>
      <w:r w:rsidR="00C60FCD" w:rsidRPr="00194E25">
        <w:t xml:space="preserve"> o</w:t>
      </w:r>
      <w:r w:rsidR="00451CD3" w:rsidRPr="00194E25">
        <w:t>r process has not been followed</w:t>
      </w:r>
      <w:r w:rsidR="00102E49" w:rsidRPr="00194E25">
        <w:t xml:space="preserve"> </w:t>
      </w:r>
      <w:r w:rsidR="00A720E1" w:rsidRPr="00194E25">
        <w:t>appropriately</w:t>
      </w:r>
      <w:r w:rsidR="00451CD3" w:rsidRPr="00194E25">
        <w:t xml:space="preserve">. </w:t>
      </w:r>
      <w:r w:rsidR="00FA06DA" w:rsidRPr="00194E25">
        <w:t>They</w:t>
      </w:r>
      <w:r w:rsidR="00A720E1" w:rsidRPr="00194E25">
        <w:t xml:space="preserve"> </w:t>
      </w:r>
      <w:r w:rsidR="00451CD3" w:rsidRPr="00194E25">
        <w:t xml:space="preserve">cannot appeal simply because they disagree with </w:t>
      </w:r>
      <w:r w:rsidR="0022475A" w:rsidRPr="00194E25">
        <w:t>a</w:t>
      </w:r>
      <w:r w:rsidR="00451CD3" w:rsidRPr="00194E25">
        <w:t xml:space="preserve"> decision.  The </w:t>
      </w:r>
      <w:r w:rsidR="00FA06DA" w:rsidRPr="00194E25">
        <w:t xml:space="preserve">doctor </w:t>
      </w:r>
      <w:r w:rsidR="00A720E1" w:rsidRPr="00194E25">
        <w:t>must</w:t>
      </w:r>
      <w:r w:rsidR="00451CD3" w:rsidRPr="00194E25">
        <w:t xml:space="preserve"> be prepared to provide evidence to substantiate the basis for the</w:t>
      </w:r>
      <w:r w:rsidR="00A720E1" w:rsidRPr="00194E25">
        <w:t>ir complaint and</w:t>
      </w:r>
      <w:r w:rsidR="002B66BF" w:rsidRPr="00194E25">
        <w:t>/</w:t>
      </w:r>
      <w:r w:rsidR="00A720E1" w:rsidRPr="00194E25">
        <w:t>or</w:t>
      </w:r>
      <w:r w:rsidR="002B66BF" w:rsidRPr="00194E25">
        <w:t xml:space="preserve"> </w:t>
      </w:r>
      <w:r w:rsidR="00A720E1" w:rsidRPr="00194E25">
        <w:t>appeal.</w:t>
      </w:r>
    </w:p>
    <w:p w14:paraId="723FA6AB" w14:textId="77777777" w:rsidR="00C60FCD" w:rsidRPr="00194E25" w:rsidRDefault="00C60FCD" w:rsidP="00031BD5">
      <w:pPr>
        <w:autoSpaceDE w:val="0"/>
        <w:autoSpaceDN w:val="0"/>
        <w:adjustRightInd w:val="0"/>
        <w:spacing w:line="360" w:lineRule="auto"/>
        <w:jc w:val="both"/>
      </w:pPr>
    </w:p>
    <w:p w14:paraId="0EE9E08A" w14:textId="77777777" w:rsidR="00DC248F" w:rsidRPr="00194E25" w:rsidRDefault="00A720E1" w:rsidP="00031BD5">
      <w:pPr>
        <w:autoSpaceDE w:val="0"/>
        <w:autoSpaceDN w:val="0"/>
        <w:adjustRightInd w:val="0"/>
        <w:spacing w:line="360" w:lineRule="auto"/>
        <w:jc w:val="both"/>
      </w:pPr>
      <w:r w:rsidRPr="00194E25">
        <w:t xml:space="preserve">If the </w:t>
      </w:r>
      <w:r w:rsidR="00FA06DA" w:rsidRPr="00194E25">
        <w:t>doctor</w:t>
      </w:r>
      <w:r w:rsidR="001316C5" w:rsidRPr="00194E25">
        <w:t xml:space="preserve"> decides</w:t>
      </w:r>
      <w:r w:rsidRPr="00194E25">
        <w:t xml:space="preserve"> to lodge a</w:t>
      </w:r>
      <w:r w:rsidR="000D78AE" w:rsidRPr="00194E25">
        <w:t xml:space="preserve"> complaint/</w:t>
      </w:r>
      <w:r w:rsidRPr="00194E25">
        <w:t xml:space="preserve">appeal, they must </w:t>
      </w:r>
      <w:r w:rsidR="00DC248F" w:rsidRPr="00194E25">
        <w:t>ascertain</w:t>
      </w:r>
      <w:r w:rsidRPr="00194E25">
        <w:t xml:space="preserve"> in the first instance which organisation manages the process</w:t>
      </w:r>
      <w:r w:rsidR="00967687" w:rsidRPr="00194E25">
        <w:t xml:space="preserve">, </w:t>
      </w:r>
      <w:r w:rsidR="00845724" w:rsidRPr="00194E25">
        <w:t>where t</w:t>
      </w:r>
      <w:r w:rsidR="00DC248F" w:rsidRPr="00194E25">
        <w:t xml:space="preserve">he </w:t>
      </w:r>
      <w:r w:rsidR="000D78AE" w:rsidRPr="00194E25">
        <w:t>complaint/</w:t>
      </w:r>
      <w:r w:rsidR="00DC248F" w:rsidRPr="00194E25">
        <w:t>appeal should be lodged</w:t>
      </w:r>
      <w:r w:rsidR="00845724" w:rsidRPr="00194E25">
        <w:t xml:space="preserve"> and what the </w:t>
      </w:r>
      <w:r w:rsidR="000D78AE" w:rsidRPr="00194E25">
        <w:t>complaint/</w:t>
      </w:r>
      <w:r w:rsidR="00845724" w:rsidRPr="00194E25">
        <w:t>appeal procedure and process is</w:t>
      </w:r>
      <w:r w:rsidR="00967687" w:rsidRPr="00194E25">
        <w:t>;</w:t>
      </w:r>
      <w:r w:rsidR="00C60FCD" w:rsidRPr="00194E25">
        <w:t xml:space="preserve"> </w:t>
      </w:r>
      <w:r w:rsidR="00967687" w:rsidRPr="00194E25">
        <w:t xml:space="preserve">for example </w:t>
      </w:r>
      <w:r w:rsidR="00C60FCD" w:rsidRPr="00194E25">
        <w:t>whether the</w:t>
      </w:r>
      <w:r w:rsidR="000D78AE" w:rsidRPr="00194E25">
        <w:t xml:space="preserve"> complaint/</w:t>
      </w:r>
      <w:r w:rsidR="00C60FCD" w:rsidRPr="00194E25">
        <w:t>appeal should be to</w:t>
      </w:r>
      <w:r w:rsidR="00845724" w:rsidRPr="00194E25">
        <w:t xml:space="preserve"> </w:t>
      </w:r>
      <w:r w:rsidR="0077752C" w:rsidRPr="00194E25">
        <w:t>the</w:t>
      </w:r>
      <w:r w:rsidR="00C60FCD" w:rsidRPr="00194E25">
        <w:t xml:space="preserve"> </w:t>
      </w:r>
      <w:r w:rsidR="00C212E1" w:rsidRPr="00194E25">
        <w:t>Foundation School, Trust Local E</w:t>
      </w:r>
      <w:r w:rsidR="00C60FCD" w:rsidRPr="00194E25">
        <w:t xml:space="preserve">ducation </w:t>
      </w:r>
      <w:r w:rsidR="00C212E1" w:rsidRPr="00194E25">
        <w:t>P</w:t>
      </w:r>
      <w:r w:rsidR="00C60FCD" w:rsidRPr="00194E25">
        <w:t xml:space="preserve">rovider (LEP) or </w:t>
      </w:r>
      <w:r w:rsidR="0077752C" w:rsidRPr="00194E25">
        <w:t xml:space="preserve">a </w:t>
      </w:r>
      <w:r w:rsidR="000D78AE" w:rsidRPr="00194E25">
        <w:t>n</w:t>
      </w:r>
      <w:r w:rsidR="0077752C" w:rsidRPr="00194E25">
        <w:t>ational</w:t>
      </w:r>
      <w:r w:rsidR="00C60FCD" w:rsidRPr="00194E25">
        <w:t xml:space="preserve"> </w:t>
      </w:r>
      <w:r w:rsidR="00845724" w:rsidRPr="00194E25">
        <w:t>o</w:t>
      </w:r>
      <w:r w:rsidR="00C60FCD" w:rsidRPr="00194E25">
        <w:t>rganisation i.e. UKFPO.</w:t>
      </w:r>
    </w:p>
    <w:p w14:paraId="3D57CFB2" w14:textId="77777777" w:rsidR="00CA2B32" w:rsidRPr="00194E25" w:rsidRDefault="00CA2B32" w:rsidP="00031BD5">
      <w:pPr>
        <w:autoSpaceDE w:val="0"/>
        <w:autoSpaceDN w:val="0"/>
        <w:adjustRightInd w:val="0"/>
        <w:spacing w:line="360" w:lineRule="auto"/>
        <w:jc w:val="both"/>
      </w:pPr>
    </w:p>
    <w:p w14:paraId="6CC7B707" w14:textId="6C838ABA" w:rsidR="00CA2B32" w:rsidRPr="00194E25" w:rsidRDefault="00CA2B32" w:rsidP="00031BD5">
      <w:pPr>
        <w:autoSpaceDE w:val="0"/>
        <w:autoSpaceDN w:val="0"/>
        <w:adjustRightInd w:val="0"/>
        <w:spacing w:line="360" w:lineRule="auto"/>
        <w:jc w:val="both"/>
      </w:pPr>
      <w:r w:rsidRPr="00194E25">
        <w:t xml:space="preserve">The </w:t>
      </w:r>
      <w:r w:rsidR="00B010B8" w:rsidRPr="00194E25">
        <w:t>school</w:t>
      </w:r>
      <w:r w:rsidRPr="00194E25">
        <w:t xml:space="preserve"> encourages the </w:t>
      </w:r>
      <w:r w:rsidR="00B010B8">
        <w:t>FD</w:t>
      </w:r>
      <w:r w:rsidRPr="00194E25">
        <w:t xml:space="preserve"> to have appropriate representation and support available at all appeals meetings.</w:t>
      </w:r>
    </w:p>
    <w:p w14:paraId="44C57FCE" w14:textId="77777777" w:rsidR="00C60FCD" w:rsidRPr="00194E25" w:rsidRDefault="00C60FCD" w:rsidP="00031BD5">
      <w:pPr>
        <w:autoSpaceDE w:val="0"/>
        <w:autoSpaceDN w:val="0"/>
        <w:adjustRightInd w:val="0"/>
        <w:spacing w:line="360" w:lineRule="auto"/>
        <w:jc w:val="both"/>
      </w:pPr>
    </w:p>
    <w:p w14:paraId="67C4C9D7" w14:textId="1C1C67C0" w:rsidR="00F1501F" w:rsidRPr="00194E25" w:rsidRDefault="0077752C" w:rsidP="00FA06DA">
      <w:pPr>
        <w:numPr>
          <w:ilvl w:val="0"/>
          <w:numId w:val="17"/>
        </w:numPr>
        <w:autoSpaceDE w:val="0"/>
        <w:autoSpaceDN w:val="0"/>
        <w:adjustRightInd w:val="0"/>
        <w:spacing w:line="360" w:lineRule="auto"/>
        <w:jc w:val="both"/>
        <w:rPr>
          <w:b/>
        </w:rPr>
      </w:pPr>
      <w:r w:rsidRPr="00194E25">
        <w:rPr>
          <w:b/>
        </w:rPr>
        <w:t>Subject area</w:t>
      </w:r>
      <w:r w:rsidR="00E527A2" w:rsidRPr="00194E25">
        <w:rPr>
          <w:b/>
        </w:rPr>
        <w:t>s</w:t>
      </w:r>
      <w:r w:rsidRPr="00194E25">
        <w:rPr>
          <w:b/>
        </w:rPr>
        <w:t xml:space="preserve"> remit of the </w:t>
      </w:r>
      <w:r w:rsidR="00F1501F" w:rsidRPr="00194E25">
        <w:rPr>
          <w:b/>
        </w:rPr>
        <w:t>local</w:t>
      </w:r>
      <w:r w:rsidR="00C60FCD" w:rsidRPr="00194E25">
        <w:rPr>
          <w:b/>
        </w:rPr>
        <w:t xml:space="preserve"> Trust (</w:t>
      </w:r>
      <w:r w:rsidR="00F1501F" w:rsidRPr="00194E25">
        <w:rPr>
          <w:b/>
        </w:rPr>
        <w:t>LEP</w:t>
      </w:r>
      <w:r w:rsidR="00C60FCD" w:rsidRPr="00194E25">
        <w:rPr>
          <w:b/>
        </w:rPr>
        <w:t>)</w:t>
      </w:r>
      <w:r w:rsidR="00F1501F" w:rsidRPr="00194E25">
        <w:rPr>
          <w:b/>
        </w:rPr>
        <w:t xml:space="preserve"> appeal process</w:t>
      </w:r>
      <w:r w:rsidR="00907244">
        <w:rPr>
          <w:b/>
        </w:rPr>
        <w:t>es</w:t>
      </w:r>
      <w:r w:rsidR="00F1501F" w:rsidRPr="00194E25">
        <w:rPr>
          <w:b/>
        </w:rPr>
        <w:t xml:space="preserve"> </w:t>
      </w:r>
    </w:p>
    <w:p w14:paraId="03802C4E" w14:textId="77777777" w:rsidR="00451CD3" w:rsidRPr="00194E25" w:rsidRDefault="00451CD3" w:rsidP="00031BD5">
      <w:pPr>
        <w:autoSpaceDE w:val="0"/>
        <w:autoSpaceDN w:val="0"/>
        <w:adjustRightInd w:val="0"/>
        <w:spacing w:line="360" w:lineRule="auto"/>
        <w:jc w:val="both"/>
        <w:rPr>
          <w:b/>
        </w:rPr>
      </w:pPr>
    </w:p>
    <w:p w14:paraId="67304EBA" w14:textId="77777777" w:rsidR="00C60FCD" w:rsidRPr="00194E25" w:rsidRDefault="004E5AD0" w:rsidP="00031BD5">
      <w:pPr>
        <w:numPr>
          <w:ilvl w:val="0"/>
          <w:numId w:val="15"/>
        </w:numPr>
        <w:spacing w:line="360" w:lineRule="auto"/>
        <w:rPr>
          <w:u w:val="single"/>
        </w:rPr>
      </w:pPr>
      <w:r w:rsidRPr="00194E25">
        <w:rPr>
          <w:u w:val="single"/>
        </w:rPr>
        <w:t xml:space="preserve">Recruitment &amp; Selection </w:t>
      </w:r>
    </w:p>
    <w:p w14:paraId="43491DB9" w14:textId="61133F96" w:rsidR="004E5AD0" w:rsidRPr="00194E25" w:rsidRDefault="002957B7" w:rsidP="0022475A">
      <w:pPr>
        <w:spacing w:line="360" w:lineRule="auto"/>
        <w:ind w:left="720"/>
      </w:pPr>
      <w:r>
        <w:t xml:space="preserve">Doctors </w:t>
      </w:r>
      <w:r w:rsidR="001316C5" w:rsidRPr="00194E25">
        <w:t>recruit</w:t>
      </w:r>
      <w:r>
        <w:t>ed</w:t>
      </w:r>
      <w:r w:rsidR="001316C5" w:rsidRPr="00194E25">
        <w:t xml:space="preserve"> </w:t>
      </w:r>
      <w:r>
        <w:t>in</w:t>
      </w:r>
      <w:r w:rsidR="001316C5" w:rsidRPr="00194E25">
        <w:t>to vacancies</w:t>
      </w:r>
      <w:r w:rsidR="00E527A2" w:rsidRPr="00194E25">
        <w:t xml:space="preserve"> into l</w:t>
      </w:r>
      <w:r w:rsidR="004E5AD0" w:rsidRPr="00194E25">
        <w:t xml:space="preserve">ocum </w:t>
      </w:r>
      <w:r w:rsidR="001316C5" w:rsidRPr="00194E25">
        <w:t xml:space="preserve">service </w:t>
      </w:r>
      <w:r w:rsidR="004E5AD0" w:rsidRPr="00194E25">
        <w:t>posts</w:t>
      </w:r>
      <w:r>
        <w:t xml:space="preserve"> at F1 level</w:t>
      </w:r>
      <w:r w:rsidR="001316C5" w:rsidRPr="00194E25">
        <w:t xml:space="preserve"> caused by withdrawals/failed finals</w:t>
      </w:r>
      <w:r>
        <w:t xml:space="preserve"> from the national process</w:t>
      </w:r>
      <w:r w:rsidR="001316C5" w:rsidRPr="00194E25">
        <w:t xml:space="preserve"> -</w:t>
      </w:r>
      <w:r w:rsidR="004E5AD0" w:rsidRPr="00194E25">
        <w:t xml:space="preserve"> follow local HR appeal procedures</w:t>
      </w:r>
      <w:r w:rsidR="0022475A" w:rsidRPr="00194E25">
        <w:t xml:space="preserve"> </w:t>
      </w:r>
      <w:r w:rsidR="00870BBE" w:rsidRPr="00194E25">
        <w:rPr>
          <w:i/>
        </w:rPr>
        <w:t>(contact the</w:t>
      </w:r>
      <w:r w:rsidR="0077752C" w:rsidRPr="00194E25">
        <w:rPr>
          <w:i/>
        </w:rPr>
        <w:t xml:space="preserve"> local</w:t>
      </w:r>
      <w:r w:rsidR="00870BBE" w:rsidRPr="00194E25">
        <w:rPr>
          <w:i/>
        </w:rPr>
        <w:t xml:space="preserve"> </w:t>
      </w:r>
      <w:r w:rsidR="00907244">
        <w:rPr>
          <w:i/>
        </w:rPr>
        <w:t xml:space="preserve">postgraduate team </w:t>
      </w:r>
      <w:r w:rsidR="00870BBE" w:rsidRPr="00194E25">
        <w:rPr>
          <w:i/>
        </w:rPr>
        <w:t>for details)</w:t>
      </w:r>
    </w:p>
    <w:p w14:paraId="6706081D" w14:textId="77777777" w:rsidR="00451CD3" w:rsidRPr="00194E25" w:rsidRDefault="00451CD3" w:rsidP="00031BD5">
      <w:pPr>
        <w:spacing w:line="360" w:lineRule="auto"/>
        <w:ind w:left="1080"/>
      </w:pPr>
    </w:p>
    <w:p w14:paraId="6D722C6E" w14:textId="77777777" w:rsidR="004E5AD0" w:rsidRPr="00194E25" w:rsidRDefault="004E5AD0" w:rsidP="00031BD5">
      <w:pPr>
        <w:numPr>
          <w:ilvl w:val="0"/>
          <w:numId w:val="11"/>
        </w:numPr>
        <w:spacing w:line="360" w:lineRule="auto"/>
        <w:rPr>
          <w:u w:val="single"/>
        </w:rPr>
      </w:pPr>
      <w:r w:rsidRPr="00194E25">
        <w:rPr>
          <w:u w:val="single"/>
        </w:rPr>
        <w:t>Pre-employment Competency Screening</w:t>
      </w:r>
    </w:p>
    <w:p w14:paraId="501F6761" w14:textId="184AAB9F" w:rsidR="00A0196B" w:rsidRPr="00194E25" w:rsidRDefault="004E5AD0" w:rsidP="0022475A">
      <w:pPr>
        <w:spacing w:line="360" w:lineRule="auto"/>
        <w:ind w:left="720"/>
      </w:pPr>
      <w:r w:rsidRPr="00194E25">
        <w:t>Follow the Trust LEP Foundation Programme PECS appeals process</w:t>
      </w:r>
      <w:r w:rsidR="00870BBE" w:rsidRPr="00194E25">
        <w:t xml:space="preserve"> </w:t>
      </w:r>
      <w:r w:rsidR="0022475A" w:rsidRPr="00194E25">
        <w:rPr>
          <w:i/>
        </w:rPr>
        <w:t>(</w:t>
      </w:r>
      <w:r w:rsidR="00870BBE" w:rsidRPr="00194E25">
        <w:rPr>
          <w:i/>
        </w:rPr>
        <w:t xml:space="preserve">contact the </w:t>
      </w:r>
      <w:r w:rsidR="0077752C" w:rsidRPr="00194E25">
        <w:rPr>
          <w:i/>
        </w:rPr>
        <w:t xml:space="preserve">local </w:t>
      </w:r>
      <w:r w:rsidR="00907244">
        <w:rPr>
          <w:i/>
        </w:rPr>
        <w:t>postgraduate team</w:t>
      </w:r>
      <w:r w:rsidR="00870BBE" w:rsidRPr="00194E25">
        <w:rPr>
          <w:i/>
        </w:rPr>
        <w:t xml:space="preserve"> for details)</w:t>
      </w:r>
    </w:p>
    <w:p w14:paraId="5FCDD1F9" w14:textId="77777777" w:rsidR="00031BD5" w:rsidRDefault="00031BD5" w:rsidP="00031BD5">
      <w:pPr>
        <w:spacing w:line="360" w:lineRule="auto"/>
        <w:ind w:left="1440"/>
      </w:pPr>
    </w:p>
    <w:p w14:paraId="2C28E21B" w14:textId="77777777" w:rsidR="002957B7" w:rsidRPr="00194E25" w:rsidRDefault="002957B7" w:rsidP="00031BD5">
      <w:pPr>
        <w:spacing w:line="360" w:lineRule="auto"/>
        <w:ind w:left="1440"/>
      </w:pPr>
    </w:p>
    <w:p w14:paraId="75FD2036" w14:textId="77777777" w:rsidR="004E5AD0" w:rsidRPr="00194E25" w:rsidRDefault="00836DD7" w:rsidP="00031BD5">
      <w:pPr>
        <w:numPr>
          <w:ilvl w:val="0"/>
          <w:numId w:val="11"/>
        </w:numPr>
        <w:spacing w:line="360" w:lineRule="auto"/>
        <w:rPr>
          <w:u w:val="single"/>
        </w:rPr>
      </w:pPr>
      <w:r w:rsidRPr="00194E25">
        <w:rPr>
          <w:u w:val="single"/>
        </w:rPr>
        <w:lastRenderedPageBreak/>
        <w:t xml:space="preserve">FY2 Study Leave </w:t>
      </w:r>
    </w:p>
    <w:p w14:paraId="0AC9A0E5" w14:textId="11F6FD09" w:rsidR="00E9350C" w:rsidRPr="00194E25" w:rsidRDefault="00E9350C" w:rsidP="0022475A">
      <w:pPr>
        <w:spacing w:line="360" w:lineRule="auto"/>
        <w:ind w:left="720"/>
      </w:pPr>
      <w:r w:rsidRPr="00194E25">
        <w:t>Follow the Trust LEP Foundation Programme study leave appeals process</w:t>
      </w:r>
      <w:r w:rsidR="00D7795C" w:rsidRPr="00194E25">
        <w:t xml:space="preserve"> </w:t>
      </w:r>
      <w:r w:rsidRPr="00194E25">
        <w:rPr>
          <w:i/>
        </w:rPr>
        <w:t xml:space="preserve">(contact the </w:t>
      </w:r>
      <w:r w:rsidR="0077752C" w:rsidRPr="00194E25">
        <w:rPr>
          <w:i/>
        </w:rPr>
        <w:t xml:space="preserve">local </w:t>
      </w:r>
      <w:r w:rsidR="00907244">
        <w:rPr>
          <w:i/>
        </w:rPr>
        <w:t xml:space="preserve">postgraduate team </w:t>
      </w:r>
      <w:r w:rsidRPr="00194E25">
        <w:rPr>
          <w:i/>
        </w:rPr>
        <w:t>for details)</w:t>
      </w:r>
    </w:p>
    <w:p w14:paraId="742E2C9B" w14:textId="77777777" w:rsidR="00C60FCD" w:rsidRPr="00194E25" w:rsidRDefault="00C60FCD" w:rsidP="00031BD5">
      <w:pPr>
        <w:spacing w:line="360" w:lineRule="auto"/>
        <w:rPr>
          <w:b/>
        </w:rPr>
      </w:pPr>
    </w:p>
    <w:p w14:paraId="2A723816" w14:textId="77777777" w:rsidR="00C60FCD" w:rsidRPr="00194E25" w:rsidRDefault="00E527A2" w:rsidP="00FA06DA">
      <w:pPr>
        <w:numPr>
          <w:ilvl w:val="0"/>
          <w:numId w:val="17"/>
        </w:numPr>
        <w:spacing w:line="360" w:lineRule="auto"/>
        <w:rPr>
          <w:b/>
        </w:rPr>
      </w:pPr>
      <w:r w:rsidRPr="00194E25">
        <w:rPr>
          <w:b/>
        </w:rPr>
        <w:t>Subject areas remit</w:t>
      </w:r>
      <w:r w:rsidR="00D7795C" w:rsidRPr="00194E25">
        <w:rPr>
          <w:b/>
        </w:rPr>
        <w:t xml:space="preserve"> of n</w:t>
      </w:r>
      <w:r w:rsidR="00C60FCD" w:rsidRPr="00194E25">
        <w:rPr>
          <w:b/>
        </w:rPr>
        <w:t xml:space="preserve">ational </w:t>
      </w:r>
      <w:r w:rsidR="00D7795C" w:rsidRPr="00194E25">
        <w:rPr>
          <w:b/>
        </w:rPr>
        <w:t xml:space="preserve">(UKFPO) </w:t>
      </w:r>
      <w:r w:rsidR="00C60FCD" w:rsidRPr="00194E25">
        <w:rPr>
          <w:b/>
        </w:rPr>
        <w:t xml:space="preserve">appeal process </w:t>
      </w:r>
    </w:p>
    <w:p w14:paraId="7ADE6E8B" w14:textId="77777777" w:rsidR="00451CD3" w:rsidRPr="00194E25" w:rsidRDefault="00451CD3" w:rsidP="00FA06DA">
      <w:pPr>
        <w:spacing w:line="360" w:lineRule="auto"/>
        <w:rPr>
          <w:b/>
        </w:rPr>
      </w:pPr>
    </w:p>
    <w:p w14:paraId="4243C06F" w14:textId="6085AB0F" w:rsidR="00C60FCD" w:rsidRPr="00194E25" w:rsidRDefault="00C60FCD" w:rsidP="00FA06DA">
      <w:pPr>
        <w:numPr>
          <w:ilvl w:val="0"/>
          <w:numId w:val="15"/>
        </w:numPr>
        <w:spacing w:line="360" w:lineRule="auto"/>
        <w:rPr>
          <w:u w:val="single"/>
        </w:rPr>
      </w:pPr>
      <w:r w:rsidRPr="00194E25">
        <w:rPr>
          <w:u w:val="single"/>
        </w:rPr>
        <w:t>Recruitment &amp; Selection</w:t>
      </w:r>
      <w:r w:rsidR="00A77C6E">
        <w:rPr>
          <w:u w:val="single"/>
        </w:rPr>
        <w:t xml:space="preserve"> for two-year Foundation Programmes and Standalone F2 vacancies</w:t>
      </w:r>
      <w:r w:rsidRPr="00194E25">
        <w:rPr>
          <w:u w:val="single"/>
        </w:rPr>
        <w:t xml:space="preserve"> </w:t>
      </w:r>
    </w:p>
    <w:p w14:paraId="3C3A3891" w14:textId="66830B4B" w:rsidR="00C60FCD" w:rsidRDefault="00C60FCD" w:rsidP="0022475A">
      <w:pPr>
        <w:spacing w:line="360" w:lineRule="auto"/>
        <w:ind w:left="720"/>
        <w:rPr>
          <w:i/>
        </w:rPr>
      </w:pPr>
      <w:r w:rsidRPr="00194E25">
        <w:t xml:space="preserve">National </w:t>
      </w:r>
      <w:r w:rsidR="002957B7" w:rsidRPr="00194E25">
        <w:t>online</w:t>
      </w:r>
      <w:r w:rsidR="00D7795C" w:rsidRPr="00194E25">
        <w:t xml:space="preserve"> recruitment process -</w:t>
      </w:r>
      <w:r w:rsidRPr="00194E25">
        <w:t xml:space="preserve"> follow UKFPO appeal procedures </w:t>
      </w:r>
      <w:r w:rsidR="00AB65D8" w:rsidRPr="00194E25">
        <w:rPr>
          <w:i/>
        </w:rPr>
        <w:t>(</w:t>
      </w:r>
      <w:hyperlink r:id="rId11" w:history="1">
        <w:r w:rsidR="00AB65D8" w:rsidRPr="00194E25">
          <w:rPr>
            <w:rStyle w:val="Hyperlink"/>
            <w:i/>
          </w:rPr>
          <w:t>www.foundationprogramme.nhs.uk</w:t>
        </w:r>
      </w:hyperlink>
      <w:r w:rsidR="00AB65D8" w:rsidRPr="00194E25">
        <w:rPr>
          <w:i/>
        </w:rPr>
        <w:t>)</w:t>
      </w:r>
    </w:p>
    <w:p w14:paraId="4020E9DE" w14:textId="77777777" w:rsidR="004D4869" w:rsidRDefault="004D4869" w:rsidP="0022475A">
      <w:pPr>
        <w:spacing w:line="360" w:lineRule="auto"/>
        <w:ind w:left="720"/>
        <w:rPr>
          <w:i/>
        </w:rPr>
      </w:pPr>
    </w:p>
    <w:p w14:paraId="4D3F45F7" w14:textId="0A4CE88F" w:rsidR="004D4869" w:rsidRPr="004D4869" w:rsidRDefault="004D4869" w:rsidP="004D4869">
      <w:pPr>
        <w:numPr>
          <w:ilvl w:val="0"/>
          <w:numId w:val="15"/>
        </w:numPr>
        <w:spacing w:line="360" w:lineRule="auto"/>
        <w:rPr>
          <w:iCs/>
          <w:u w:val="single"/>
        </w:rPr>
      </w:pPr>
      <w:r w:rsidRPr="004D4869">
        <w:rPr>
          <w:iCs/>
          <w:u w:val="single"/>
        </w:rPr>
        <w:t>Inter Foundation School Transfer (IFST) – national window</w:t>
      </w:r>
    </w:p>
    <w:p w14:paraId="28A938E9" w14:textId="21AB46BA" w:rsidR="004D4869" w:rsidRPr="004D4869" w:rsidRDefault="004D4869" w:rsidP="004D4869">
      <w:pPr>
        <w:spacing w:line="360" w:lineRule="auto"/>
        <w:ind w:left="720"/>
        <w:rPr>
          <w:iCs/>
        </w:rPr>
      </w:pPr>
      <w:r>
        <w:rPr>
          <w:iCs/>
        </w:rPr>
        <w:t xml:space="preserve">Refer to the national IFST guidance for appeals relating to IFST applications made during the national transfer window.  </w:t>
      </w:r>
      <w:r w:rsidR="00DC408B">
        <w:t>Visit</w:t>
      </w:r>
      <w:r w:rsidR="00DC408B" w:rsidRPr="00194E25">
        <w:t xml:space="preserve"> the UKFPO website: </w:t>
      </w:r>
      <w:hyperlink r:id="rId12" w:history="1">
        <w:r w:rsidR="00DC408B" w:rsidRPr="00194E25">
          <w:rPr>
            <w:rStyle w:val="Hyperlink"/>
          </w:rPr>
          <w:t>www.foundationprogramme.nhs.uk</w:t>
        </w:r>
      </w:hyperlink>
    </w:p>
    <w:p w14:paraId="2098EF24" w14:textId="77777777" w:rsidR="00C60FCD" w:rsidRPr="00194E25" w:rsidRDefault="00C60FCD" w:rsidP="00FA06DA">
      <w:pPr>
        <w:ind w:left="360"/>
      </w:pPr>
    </w:p>
    <w:p w14:paraId="261AF11A" w14:textId="77777777" w:rsidR="00F1501F" w:rsidRPr="00194E25" w:rsidRDefault="00F1501F" w:rsidP="00FA06DA">
      <w:pPr>
        <w:ind w:left="720"/>
      </w:pPr>
    </w:p>
    <w:p w14:paraId="72A02EAF" w14:textId="77777777" w:rsidR="00FA06DA" w:rsidRPr="00194E25" w:rsidRDefault="00FA06DA" w:rsidP="00FA06DA">
      <w:pPr>
        <w:numPr>
          <w:ilvl w:val="0"/>
          <w:numId w:val="17"/>
        </w:numPr>
        <w:autoSpaceDE w:val="0"/>
        <w:autoSpaceDN w:val="0"/>
        <w:adjustRightInd w:val="0"/>
        <w:spacing w:line="360" w:lineRule="auto"/>
        <w:rPr>
          <w:b/>
        </w:rPr>
      </w:pPr>
      <w:bookmarkStart w:id="0" w:name="OLE_LINK1"/>
      <w:bookmarkStart w:id="1" w:name="OLE_LINK2"/>
      <w:r w:rsidRPr="00194E25">
        <w:rPr>
          <w:b/>
        </w:rPr>
        <w:t>Subject areas remit of the Foundation School appeal process</w:t>
      </w:r>
    </w:p>
    <w:p w14:paraId="6D9E106E" w14:textId="77777777" w:rsidR="0022475A" w:rsidRPr="00194E25" w:rsidRDefault="0022475A" w:rsidP="0022475A">
      <w:pPr>
        <w:autoSpaceDE w:val="0"/>
        <w:autoSpaceDN w:val="0"/>
        <w:adjustRightInd w:val="0"/>
        <w:spacing w:line="360" w:lineRule="auto"/>
        <w:rPr>
          <w:bCs/>
          <w:color w:val="000000"/>
        </w:rPr>
      </w:pPr>
    </w:p>
    <w:p w14:paraId="63E944BE" w14:textId="66C1319D" w:rsidR="0022475A" w:rsidRPr="00194E25" w:rsidRDefault="00FA06DA" w:rsidP="00FA06DA">
      <w:pPr>
        <w:numPr>
          <w:ilvl w:val="0"/>
          <w:numId w:val="18"/>
        </w:numPr>
        <w:autoSpaceDE w:val="0"/>
        <w:autoSpaceDN w:val="0"/>
        <w:adjustRightInd w:val="0"/>
        <w:spacing w:line="360" w:lineRule="auto"/>
        <w:rPr>
          <w:u w:val="single"/>
        </w:rPr>
      </w:pPr>
      <w:r w:rsidRPr="00194E25">
        <w:rPr>
          <w:u w:val="single"/>
        </w:rPr>
        <w:t>Inter Foundation School Transfe</w:t>
      </w:r>
      <w:r w:rsidR="0040657F">
        <w:rPr>
          <w:u w:val="single"/>
        </w:rPr>
        <w:t>r (IFST</w:t>
      </w:r>
      <w:r w:rsidR="00DC408B">
        <w:rPr>
          <w:u w:val="single"/>
        </w:rPr>
        <w:t>)</w:t>
      </w:r>
      <w:r w:rsidR="004D4869">
        <w:rPr>
          <w:u w:val="single"/>
        </w:rPr>
        <w:t xml:space="preserve"> – local</w:t>
      </w:r>
      <w:r w:rsidR="00601CC4">
        <w:rPr>
          <w:u w:val="single"/>
        </w:rPr>
        <w:t xml:space="preserve"> applications</w:t>
      </w:r>
      <w:r w:rsidR="004D4869">
        <w:rPr>
          <w:u w:val="single"/>
        </w:rPr>
        <w:t xml:space="preserve"> </w:t>
      </w:r>
      <w:r w:rsidRPr="00194E25">
        <w:rPr>
          <w:u w:val="single"/>
        </w:rPr>
        <w:t xml:space="preserve"> </w:t>
      </w:r>
    </w:p>
    <w:p w14:paraId="055768AE" w14:textId="5F3EF427" w:rsidR="0022475A" w:rsidRDefault="00DC408B" w:rsidP="0022475A">
      <w:pPr>
        <w:autoSpaceDE w:val="0"/>
        <w:autoSpaceDN w:val="0"/>
        <w:adjustRightInd w:val="0"/>
        <w:spacing w:line="360" w:lineRule="auto"/>
        <w:ind w:left="720"/>
        <w:rPr>
          <w:b/>
          <w:bCs/>
          <w:color w:val="000000"/>
        </w:rPr>
      </w:pPr>
      <w:r>
        <w:t>Contact the school for</w:t>
      </w:r>
      <w:r w:rsidR="004F3BAC">
        <w:t xml:space="preserve"> appeals relating to IFST applications made</w:t>
      </w:r>
      <w:r w:rsidR="00601CC4">
        <w:t xml:space="preserve"> to the school</w:t>
      </w:r>
      <w:r w:rsidR="004F3BAC">
        <w:t xml:space="preserve"> during the Foundation Programme</w:t>
      </w:r>
      <w:r w:rsidR="00601CC4">
        <w:t>.</w:t>
      </w:r>
    </w:p>
    <w:p w14:paraId="5601FBA2" w14:textId="77777777" w:rsidR="004D4869" w:rsidRPr="00194E25" w:rsidRDefault="004D4869" w:rsidP="0022475A">
      <w:pPr>
        <w:autoSpaceDE w:val="0"/>
        <w:autoSpaceDN w:val="0"/>
        <w:adjustRightInd w:val="0"/>
        <w:spacing w:line="360" w:lineRule="auto"/>
        <w:ind w:left="720"/>
        <w:rPr>
          <w:b/>
          <w:bCs/>
          <w:color w:val="000000"/>
        </w:rPr>
      </w:pPr>
    </w:p>
    <w:p w14:paraId="0557845A" w14:textId="7E0CC557" w:rsidR="00FA06DA" w:rsidRPr="00194E25" w:rsidRDefault="00FA06DA" w:rsidP="00FA06DA">
      <w:pPr>
        <w:numPr>
          <w:ilvl w:val="0"/>
          <w:numId w:val="18"/>
        </w:numPr>
        <w:autoSpaceDE w:val="0"/>
        <w:autoSpaceDN w:val="0"/>
        <w:adjustRightInd w:val="0"/>
        <w:spacing w:line="360" w:lineRule="auto"/>
        <w:rPr>
          <w:u w:val="single"/>
        </w:rPr>
      </w:pPr>
      <w:r w:rsidRPr="00194E25">
        <w:rPr>
          <w:u w:val="single"/>
        </w:rPr>
        <w:t>Time out of Foundation Programme Requests</w:t>
      </w:r>
      <w:r w:rsidR="0040657F">
        <w:rPr>
          <w:u w:val="single"/>
        </w:rPr>
        <w:t xml:space="preserve"> (TOFP)</w:t>
      </w:r>
    </w:p>
    <w:p w14:paraId="097D1976" w14:textId="173C9770" w:rsidR="0022475A" w:rsidRPr="0040657F" w:rsidRDefault="0040657F" w:rsidP="0022475A">
      <w:pPr>
        <w:autoSpaceDE w:val="0"/>
        <w:autoSpaceDN w:val="0"/>
        <w:adjustRightInd w:val="0"/>
        <w:spacing w:line="360" w:lineRule="auto"/>
        <w:ind w:left="720"/>
        <w:rPr>
          <w:color w:val="000000"/>
        </w:rPr>
      </w:pPr>
      <w:r w:rsidRPr="0040657F">
        <w:rPr>
          <w:color w:val="000000"/>
        </w:rPr>
        <w:t>Contact the school</w:t>
      </w:r>
    </w:p>
    <w:p w14:paraId="774A62EB" w14:textId="77777777" w:rsidR="0040657F" w:rsidRPr="00194E25" w:rsidRDefault="0040657F" w:rsidP="0022475A">
      <w:pPr>
        <w:autoSpaceDE w:val="0"/>
        <w:autoSpaceDN w:val="0"/>
        <w:adjustRightInd w:val="0"/>
        <w:spacing w:line="360" w:lineRule="auto"/>
        <w:ind w:left="720"/>
        <w:rPr>
          <w:b/>
          <w:bCs/>
          <w:color w:val="000000"/>
        </w:rPr>
      </w:pPr>
    </w:p>
    <w:p w14:paraId="1F467027" w14:textId="04F1BD50" w:rsidR="0022475A" w:rsidRPr="00194E25" w:rsidRDefault="00577CC1" w:rsidP="0022475A">
      <w:pPr>
        <w:numPr>
          <w:ilvl w:val="0"/>
          <w:numId w:val="18"/>
        </w:numPr>
        <w:autoSpaceDE w:val="0"/>
        <w:autoSpaceDN w:val="0"/>
        <w:adjustRightInd w:val="0"/>
        <w:spacing w:line="360" w:lineRule="auto"/>
        <w:rPr>
          <w:b/>
          <w:bCs/>
          <w:color w:val="000000"/>
        </w:rPr>
      </w:pPr>
      <w:r>
        <w:rPr>
          <w:u w:val="single"/>
        </w:rPr>
        <w:t xml:space="preserve">Failure to achieve satisfactory completion of FY1 or FY2 resulting in an </w:t>
      </w:r>
      <w:r w:rsidR="00A425C6" w:rsidRPr="00194E25">
        <w:rPr>
          <w:u w:val="single"/>
        </w:rPr>
        <w:t>ARCP Outcome 3 or 4</w:t>
      </w:r>
      <w:r w:rsidR="00A425C6" w:rsidRPr="00194E25">
        <w:rPr>
          <w:b/>
          <w:bCs/>
          <w:color w:val="000000"/>
        </w:rPr>
        <w:t xml:space="preserve"> </w:t>
      </w:r>
    </w:p>
    <w:p w14:paraId="6C49490E" w14:textId="436B9DEF" w:rsidR="00A425C6" w:rsidRPr="00194E25" w:rsidRDefault="0022475A" w:rsidP="0022475A">
      <w:pPr>
        <w:autoSpaceDE w:val="0"/>
        <w:autoSpaceDN w:val="0"/>
        <w:adjustRightInd w:val="0"/>
        <w:spacing w:line="360" w:lineRule="auto"/>
        <w:ind w:firstLine="720"/>
        <w:rPr>
          <w:b/>
          <w:bCs/>
          <w:color w:val="000000"/>
        </w:rPr>
      </w:pPr>
      <w:r w:rsidRPr="00194E25">
        <w:t xml:space="preserve">Refer to the </w:t>
      </w:r>
      <w:r w:rsidR="005C1CDB">
        <w:t xml:space="preserve">Foundation ARCP </w:t>
      </w:r>
      <w:r w:rsidRPr="00194E25">
        <w:t>Operational Guide</w:t>
      </w:r>
      <w:r w:rsidR="00601CC4">
        <w:t xml:space="preserve"> and Gold Guide</w:t>
      </w:r>
      <w:r w:rsidR="005E31B6">
        <w:t>.</w:t>
      </w:r>
      <w:r w:rsidRPr="00194E25">
        <w:t xml:space="preserve"> </w:t>
      </w:r>
    </w:p>
    <w:p w14:paraId="4EFA6458" w14:textId="77777777" w:rsidR="0022475A" w:rsidRPr="00194E25" w:rsidRDefault="0022475A" w:rsidP="00577CC1">
      <w:pPr>
        <w:autoSpaceDE w:val="0"/>
        <w:autoSpaceDN w:val="0"/>
        <w:adjustRightInd w:val="0"/>
        <w:spacing w:line="360" w:lineRule="auto"/>
        <w:rPr>
          <w:b/>
          <w:bCs/>
          <w:color w:val="000000"/>
        </w:rPr>
      </w:pPr>
    </w:p>
    <w:p w14:paraId="76E87136" w14:textId="77777777" w:rsidR="00C8056C" w:rsidRPr="00194E25" w:rsidRDefault="00C8056C" w:rsidP="00FA06DA">
      <w:pPr>
        <w:autoSpaceDE w:val="0"/>
        <w:autoSpaceDN w:val="0"/>
        <w:adjustRightInd w:val="0"/>
        <w:spacing w:line="360" w:lineRule="auto"/>
        <w:rPr>
          <w:b/>
          <w:bCs/>
          <w:color w:val="000000"/>
        </w:rPr>
      </w:pPr>
      <w:r w:rsidRPr="00194E25">
        <w:rPr>
          <w:b/>
          <w:bCs/>
          <w:color w:val="000000"/>
        </w:rPr>
        <w:t xml:space="preserve">BASIC PRINCIPLES </w:t>
      </w:r>
    </w:p>
    <w:p w14:paraId="4E4C1E60" w14:textId="77777777" w:rsidR="00FA06DA" w:rsidRPr="00194E25" w:rsidRDefault="00C8056C" w:rsidP="00FA06DA">
      <w:pPr>
        <w:autoSpaceDE w:val="0"/>
        <w:autoSpaceDN w:val="0"/>
        <w:adjustRightInd w:val="0"/>
        <w:spacing w:line="360" w:lineRule="auto"/>
        <w:rPr>
          <w:b/>
          <w:bCs/>
          <w:i/>
          <w:color w:val="000000"/>
        </w:rPr>
      </w:pPr>
      <w:r w:rsidRPr="00194E25">
        <w:rPr>
          <w:b/>
          <w:bCs/>
          <w:i/>
          <w:color w:val="000000"/>
        </w:rPr>
        <w:t>Please consult the relevant process document for specific detail</w:t>
      </w:r>
    </w:p>
    <w:p w14:paraId="59362928" w14:textId="77777777" w:rsidR="00C8056C" w:rsidRPr="00194E25" w:rsidRDefault="00C8056C" w:rsidP="00FA06DA">
      <w:pPr>
        <w:autoSpaceDE w:val="0"/>
        <w:autoSpaceDN w:val="0"/>
        <w:adjustRightInd w:val="0"/>
        <w:spacing w:line="360" w:lineRule="auto"/>
        <w:rPr>
          <w:b/>
          <w:bCs/>
          <w:color w:val="000000"/>
        </w:rPr>
      </w:pPr>
    </w:p>
    <w:p w14:paraId="0DD5CD09" w14:textId="77777777" w:rsidR="00FA06DA" w:rsidRPr="00194E25" w:rsidRDefault="00A425C6" w:rsidP="00A425C6">
      <w:pPr>
        <w:autoSpaceDE w:val="0"/>
        <w:autoSpaceDN w:val="0"/>
        <w:adjustRightInd w:val="0"/>
        <w:spacing w:line="360" w:lineRule="auto"/>
        <w:rPr>
          <w:bCs/>
          <w:color w:val="000000"/>
        </w:rPr>
      </w:pPr>
      <w:r w:rsidRPr="00194E25">
        <w:rPr>
          <w:bCs/>
          <w:color w:val="000000"/>
        </w:rPr>
        <w:t>3.1</w:t>
      </w:r>
      <w:r w:rsidRPr="00194E25">
        <w:rPr>
          <w:bCs/>
          <w:color w:val="000000"/>
        </w:rPr>
        <w:tab/>
      </w:r>
      <w:r w:rsidR="00FA06DA" w:rsidRPr="00194E25">
        <w:rPr>
          <w:bCs/>
          <w:color w:val="000000"/>
        </w:rPr>
        <w:t>There are two grounds on which a complaint/appeal can be made:</w:t>
      </w:r>
    </w:p>
    <w:p w14:paraId="5E277C27" w14:textId="77777777" w:rsidR="00FA06DA" w:rsidRPr="00194E25" w:rsidRDefault="00FA06DA" w:rsidP="00FA06DA">
      <w:pPr>
        <w:tabs>
          <w:tab w:val="num" w:pos="720"/>
        </w:tabs>
        <w:autoSpaceDE w:val="0"/>
        <w:autoSpaceDN w:val="0"/>
        <w:adjustRightInd w:val="0"/>
        <w:spacing w:line="360" w:lineRule="auto"/>
        <w:ind w:left="720" w:hanging="720"/>
        <w:rPr>
          <w:bCs/>
          <w:color w:val="000000"/>
        </w:rPr>
      </w:pPr>
    </w:p>
    <w:p w14:paraId="2BD2D29D" w14:textId="77777777" w:rsidR="00FA06DA" w:rsidRPr="00194E25" w:rsidRDefault="00FA06DA" w:rsidP="00FA06DA">
      <w:pPr>
        <w:tabs>
          <w:tab w:val="left" w:pos="360"/>
        </w:tabs>
        <w:spacing w:line="360" w:lineRule="auto"/>
        <w:ind w:left="360"/>
      </w:pPr>
      <w:r w:rsidRPr="00194E25">
        <w:t>a)    The process was not applied with appropriate diligence or due care</w:t>
      </w:r>
    </w:p>
    <w:p w14:paraId="51E6A0D5" w14:textId="77777777" w:rsidR="00FA06DA" w:rsidRPr="00194E25" w:rsidRDefault="00FA06DA" w:rsidP="00FA06DA">
      <w:pPr>
        <w:tabs>
          <w:tab w:val="left" w:pos="360"/>
        </w:tabs>
        <w:spacing w:line="360" w:lineRule="auto"/>
        <w:ind w:left="360"/>
      </w:pPr>
      <w:r w:rsidRPr="00194E25">
        <w:t>b)    A decision was made in a prejudicial way or that there is evidence of prejudice, bias or conflict of interest during the process.</w:t>
      </w:r>
    </w:p>
    <w:p w14:paraId="17B4F661" w14:textId="77777777" w:rsidR="00FA06DA" w:rsidRPr="00194E25" w:rsidRDefault="00FA06DA" w:rsidP="00FA06DA">
      <w:pPr>
        <w:tabs>
          <w:tab w:val="left" w:pos="360"/>
        </w:tabs>
        <w:spacing w:line="360" w:lineRule="auto"/>
      </w:pPr>
    </w:p>
    <w:p w14:paraId="145CA967" w14:textId="77777777" w:rsidR="00FA06DA" w:rsidRPr="00194E25" w:rsidRDefault="00FA06DA" w:rsidP="00A425C6">
      <w:pPr>
        <w:numPr>
          <w:ilvl w:val="1"/>
          <w:numId w:val="19"/>
        </w:numPr>
        <w:tabs>
          <w:tab w:val="left" w:pos="360"/>
        </w:tabs>
        <w:spacing w:line="360" w:lineRule="auto"/>
      </w:pPr>
      <w:r w:rsidRPr="00194E25">
        <w:t>The applicant cannot appeal simply because they disagree with the decision.</w:t>
      </w:r>
    </w:p>
    <w:p w14:paraId="41DB96CE" w14:textId="77777777" w:rsidR="00FA06DA" w:rsidRPr="00194E25" w:rsidRDefault="00FA06DA" w:rsidP="00FA06DA">
      <w:pPr>
        <w:tabs>
          <w:tab w:val="left" w:pos="360"/>
        </w:tabs>
        <w:spacing w:line="360" w:lineRule="auto"/>
      </w:pPr>
      <w:r w:rsidRPr="00194E25">
        <w:t xml:space="preserve"> </w:t>
      </w:r>
    </w:p>
    <w:p w14:paraId="20353421" w14:textId="77777777" w:rsidR="00FA06DA" w:rsidRPr="00194E25" w:rsidRDefault="00FA06DA" w:rsidP="00A425C6">
      <w:pPr>
        <w:numPr>
          <w:ilvl w:val="0"/>
          <w:numId w:val="20"/>
        </w:numPr>
        <w:autoSpaceDE w:val="0"/>
        <w:autoSpaceDN w:val="0"/>
        <w:adjustRightInd w:val="0"/>
        <w:spacing w:line="360" w:lineRule="auto"/>
        <w:rPr>
          <w:bCs/>
          <w:color w:val="000000"/>
        </w:rPr>
      </w:pPr>
      <w:r w:rsidRPr="00194E25">
        <w:t>The applicant must provide evidence to substantiate the basis for the complaint/appeal.</w:t>
      </w:r>
    </w:p>
    <w:p w14:paraId="341DA0EB" w14:textId="77777777" w:rsidR="00FA06DA" w:rsidRPr="00194E25" w:rsidRDefault="00FA06DA" w:rsidP="00A425C6">
      <w:pPr>
        <w:numPr>
          <w:ilvl w:val="0"/>
          <w:numId w:val="20"/>
        </w:numPr>
        <w:autoSpaceDE w:val="0"/>
        <w:autoSpaceDN w:val="0"/>
        <w:adjustRightInd w:val="0"/>
        <w:spacing w:line="360" w:lineRule="auto"/>
      </w:pPr>
      <w:r w:rsidRPr="00194E25">
        <w:rPr>
          <w:bCs/>
          <w:color w:val="000000"/>
        </w:rPr>
        <w:t>Any complaint /appeal must be submitted within 10 working days of the date of the decision being appealed against.</w:t>
      </w:r>
    </w:p>
    <w:p w14:paraId="6FB3236C" w14:textId="77777777" w:rsidR="00FA06DA" w:rsidRPr="00194E25" w:rsidRDefault="00FA06DA" w:rsidP="00FA06DA">
      <w:pPr>
        <w:autoSpaceDE w:val="0"/>
        <w:autoSpaceDN w:val="0"/>
        <w:adjustRightInd w:val="0"/>
        <w:spacing w:line="360" w:lineRule="auto"/>
      </w:pPr>
    </w:p>
    <w:p w14:paraId="4662CE16" w14:textId="40E5D553" w:rsidR="00FA06DA" w:rsidRPr="00194E25" w:rsidRDefault="00FA06DA" w:rsidP="00A425C6">
      <w:pPr>
        <w:numPr>
          <w:ilvl w:val="1"/>
          <w:numId w:val="19"/>
        </w:numPr>
        <w:autoSpaceDE w:val="0"/>
        <w:autoSpaceDN w:val="0"/>
        <w:adjustRightInd w:val="0"/>
        <w:spacing w:line="360" w:lineRule="auto"/>
      </w:pPr>
      <w:r w:rsidRPr="00194E25">
        <w:t xml:space="preserve">The applicant must submit their complaint/appeal in writing </w:t>
      </w:r>
      <w:r w:rsidRPr="00194E25">
        <w:rPr>
          <w:bCs/>
          <w:color w:val="000000"/>
        </w:rPr>
        <w:t xml:space="preserve">to the </w:t>
      </w:r>
      <w:r w:rsidR="00631C3C" w:rsidRPr="00194E25">
        <w:rPr>
          <w:bCs/>
          <w:color w:val="000000"/>
        </w:rPr>
        <w:t>Dean of Postgraduate Medical Studies</w:t>
      </w:r>
      <w:r w:rsidR="005E31B6">
        <w:rPr>
          <w:bCs/>
          <w:color w:val="000000"/>
        </w:rPr>
        <w:t xml:space="preserve">. </w:t>
      </w:r>
    </w:p>
    <w:p w14:paraId="5788F28A" w14:textId="77777777" w:rsidR="00FA06DA" w:rsidRPr="00194E25" w:rsidRDefault="00FA06DA" w:rsidP="00FA06DA">
      <w:pPr>
        <w:autoSpaceDE w:val="0"/>
        <w:autoSpaceDN w:val="0"/>
        <w:adjustRightInd w:val="0"/>
        <w:spacing w:line="360" w:lineRule="auto"/>
        <w:ind w:left="360"/>
        <w:rPr>
          <w:bCs/>
          <w:color w:val="000000"/>
        </w:rPr>
      </w:pPr>
      <w:r w:rsidRPr="00194E25">
        <w:t xml:space="preserve">The Postgraduate Dean will acknowledge receipt of the complaint/appeal within 5 working days. </w:t>
      </w:r>
    </w:p>
    <w:p w14:paraId="3BCD7C16" w14:textId="77777777" w:rsidR="00FA06DA" w:rsidRPr="00194E25" w:rsidRDefault="00FA06DA" w:rsidP="00FA06DA">
      <w:pPr>
        <w:autoSpaceDE w:val="0"/>
        <w:autoSpaceDN w:val="0"/>
        <w:adjustRightInd w:val="0"/>
        <w:spacing w:line="360" w:lineRule="auto"/>
        <w:rPr>
          <w:bCs/>
          <w:color w:val="000000"/>
        </w:rPr>
      </w:pPr>
    </w:p>
    <w:p w14:paraId="551E3DAB" w14:textId="77777777" w:rsidR="00FA06DA" w:rsidRPr="00194E25" w:rsidRDefault="00FA06DA" w:rsidP="00A425C6">
      <w:pPr>
        <w:numPr>
          <w:ilvl w:val="1"/>
          <w:numId w:val="19"/>
        </w:numPr>
        <w:autoSpaceDE w:val="0"/>
        <w:autoSpaceDN w:val="0"/>
        <w:adjustRightInd w:val="0"/>
        <w:spacing w:line="360" w:lineRule="auto"/>
        <w:rPr>
          <w:bCs/>
          <w:color w:val="000000"/>
        </w:rPr>
      </w:pPr>
      <w:r w:rsidRPr="00194E25">
        <w:t xml:space="preserve">The Postgraduate Dean </w:t>
      </w:r>
      <w:r w:rsidRPr="00194E25">
        <w:rPr>
          <w:bCs/>
          <w:color w:val="000000"/>
        </w:rPr>
        <w:t>will check whether the complaint/appeal documentation meets the criteria to proceed. If the complaint/appeal meets the complaint/appeal process criteria the Postgraduate Dean will convene a panel to review the evidence.</w:t>
      </w:r>
    </w:p>
    <w:p w14:paraId="0430B59F" w14:textId="77777777" w:rsidR="00FA06DA" w:rsidRPr="00194E25" w:rsidRDefault="00FA06DA" w:rsidP="00FA06DA">
      <w:pPr>
        <w:autoSpaceDE w:val="0"/>
        <w:autoSpaceDN w:val="0"/>
        <w:adjustRightInd w:val="0"/>
        <w:spacing w:line="360" w:lineRule="auto"/>
        <w:rPr>
          <w:bCs/>
          <w:color w:val="000000"/>
        </w:rPr>
      </w:pPr>
    </w:p>
    <w:p w14:paraId="5BB448D6" w14:textId="77777777" w:rsidR="00FA06DA" w:rsidRPr="00194E25" w:rsidRDefault="00FA06DA" w:rsidP="00A425C6">
      <w:pPr>
        <w:numPr>
          <w:ilvl w:val="1"/>
          <w:numId w:val="19"/>
        </w:numPr>
        <w:autoSpaceDE w:val="0"/>
        <w:autoSpaceDN w:val="0"/>
        <w:adjustRightInd w:val="0"/>
        <w:spacing w:line="360" w:lineRule="auto"/>
        <w:rPr>
          <w:bCs/>
          <w:color w:val="000000"/>
        </w:rPr>
      </w:pPr>
      <w:r w:rsidRPr="00194E25">
        <w:rPr>
          <w:bCs/>
          <w:color w:val="000000"/>
        </w:rPr>
        <w:t xml:space="preserve">The applicant will be informed in writing of the Postgraduate Dean’s decision within 5 working days. </w:t>
      </w:r>
    </w:p>
    <w:p w14:paraId="2E5B1CCC" w14:textId="77777777" w:rsidR="00FA06DA" w:rsidRPr="00194E25" w:rsidRDefault="00FA06DA" w:rsidP="00FA06DA">
      <w:pPr>
        <w:autoSpaceDE w:val="0"/>
        <w:autoSpaceDN w:val="0"/>
        <w:adjustRightInd w:val="0"/>
        <w:spacing w:line="360" w:lineRule="auto"/>
        <w:ind w:left="360" w:hanging="660"/>
        <w:rPr>
          <w:bCs/>
          <w:color w:val="000000"/>
        </w:rPr>
      </w:pPr>
    </w:p>
    <w:p w14:paraId="786C9CE4" w14:textId="0189BC1C" w:rsidR="00FA06DA" w:rsidRPr="00194E25" w:rsidRDefault="00FA06DA" w:rsidP="00A425C6">
      <w:pPr>
        <w:numPr>
          <w:ilvl w:val="1"/>
          <w:numId w:val="19"/>
        </w:numPr>
        <w:autoSpaceDE w:val="0"/>
        <w:autoSpaceDN w:val="0"/>
        <w:adjustRightInd w:val="0"/>
        <w:spacing w:line="360" w:lineRule="auto"/>
        <w:rPr>
          <w:bCs/>
          <w:color w:val="000000"/>
        </w:rPr>
      </w:pPr>
      <w:r w:rsidRPr="00194E25">
        <w:rPr>
          <w:bCs/>
          <w:color w:val="000000"/>
        </w:rPr>
        <w:t xml:space="preserve">The panel to consider the complaint/appeal will consist of </w:t>
      </w:r>
      <w:r w:rsidR="00AF3712">
        <w:rPr>
          <w:bCs/>
          <w:color w:val="000000"/>
        </w:rPr>
        <w:t xml:space="preserve">a minimum of </w:t>
      </w:r>
      <w:r w:rsidRPr="00194E25">
        <w:rPr>
          <w:bCs/>
          <w:color w:val="000000"/>
        </w:rPr>
        <w:t xml:space="preserve">the Postgraduate Dean or deputy, one senior medical educator and one lay member, not previously involved with the process under scrutiny at the Foundation School. They will review the evidence provided.  </w:t>
      </w:r>
    </w:p>
    <w:p w14:paraId="79CBCE69" w14:textId="77777777" w:rsidR="00FA06DA" w:rsidRPr="00194E25" w:rsidRDefault="00FA06DA" w:rsidP="00FA06DA">
      <w:pPr>
        <w:autoSpaceDE w:val="0"/>
        <w:autoSpaceDN w:val="0"/>
        <w:adjustRightInd w:val="0"/>
        <w:spacing w:line="360" w:lineRule="auto"/>
        <w:rPr>
          <w:bCs/>
          <w:color w:val="000000"/>
        </w:rPr>
      </w:pPr>
    </w:p>
    <w:p w14:paraId="1ABA8E74" w14:textId="77777777" w:rsidR="00FA06DA" w:rsidRPr="00194E25" w:rsidRDefault="00FA06DA" w:rsidP="00A425C6">
      <w:pPr>
        <w:numPr>
          <w:ilvl w:val="1"/>
          <w:numId w:val="19"/>
        </w:numPr>
        <w:autoSpaceDE w:val="0"/>
        <w:autoSpaceDN w:val="0"/>
        <w:adjustRightInd w:val="0"/>
        <w:spacing w:line="360" w:lineRule="auto"/>
        <w:rPr>
          <w:bCs/>
          <w:color w:val="000000"/>
        </w:rPr>
      </w:pPr>
      <w:r w:rsidRPr="00194E25">
        <w:rPr>
          <w:bCs/>
          <w:color w:val="000000"/>
        </w:rPr>
        <w:t xml:space="preserve">The decision of the panel is final </w:t>
      </w:r>
    </w:p>
    <w:p w14:paraId="01F7B8CF" w14:textId="77777777" w:rsidR="00FA06DA" w:rsidRDefault="00FA06DA" w:rsidP="00FA06DA">
      <w:pPr>
        <w:autoSpaceDE w:val="0"/>
        <w:autoSpaceDN w:val="0"/>
        <w:adjustRightInd w:val="0"/>
        <w:spacing w:line="360" w:lineRule="auto"/>
        <w:rPr>
          <w:bCs/>
          <w:color w:val="000000"/>
        </w:rPr>
      </w:pPr>
    </w:p>
    <w:p w14:paraId="1A34CA9F" w14:textId="77777777" w:rsidR="00AF3712" w:rsidRDefault="00AF3712" w:rsidP="00FA06DA">
      <w:pPr>
        <w:autoSpaceDE w:val="0"/>
        <w:autoSpaceDN w:val="0"/>
        <w:adjustRightInd w:val="0"/>
        <w:spacing w:line="360" w:lineRule="auto"/>
        <w:rPr>
          <w:bCs/>
          <w:color w:val="000000"/>
        </w:rPr>
      </w:pPr>
    </w:p>
    <w:p w14:paraId="25B8EDBE" w14:textId="77777777" w:rsidR="00AF3712" w:rsidRPr="00194E25" w:rsidRDefault="00AF3712" w:rsidP="00FA06DA">
      <w:pPr>
        <w:autoSpaceDE w:val="0"/>
        <w:autoSpaceDN w:val="0"/>
        <w:adjustRightInd w:val="0"/>
        <w:spacing w:line="360" w:lineRule="auto"/>
        <w:rPr>
          <w:bCs/>
          <w:color w:val="000000"/>
        </w:rPr>
      </w:pPr>
    </w:p>
    <w:p w14:paraId="17798750" w14:textId="77777777" w:rsidR="00FA06DA" w:rsidRPr="00194E25" w:rsidRDefault="00FA06DA" w:rsidP="00A425C6">
      <w:pPr>
        <w:numPr>
          <w:ilvl w:val="1"/>
          <w:numId w:val="19"/>
        </w:numPr>
        <w:autoSpaceDE w:val="0"/>
        <w:autoSpaceDN w:val="0"/>
        <w:adjustRightInd w:val="0"/>
        <w:spacing w:line="360" w:lineRule="auto"/>
        <w:rPr>
          <w:bCs/>
          <w:color w:val="000000"/>
        </w:rPr>
      </w:pPr>
      <w:r w:rsidRPr="00194E25">
        <w:rPr>
          <w:bCs/>
          <w:color w:val="000000"/>
        </w:rPr>
        <w:t>The applicant will be notified in writing by the Postgraduate Dean</w:t>
      </w:r>
      <w:r w:rsidR="00F14758" w:rsidRPr="00194E25">
        <w:rPr>
          <w:bCs/>
          <w:color w:val="000000"/>
        </w:rPr>
        <w:t>, or deputy</w:t>
      </w:r>
      <w:r w:rsidRPr="00194E25">
        <w:rPr>
          <w:bCs/>
          <w:color w:val="000000"/>
        </w:rPr>
        <w:t xml:space="preserve"> of the decision of the panel, within 20 working days of the acknowledgement. </w:t>
      </w:r>
    </w:p>
    <w:p w14:paraId="2C48BEB0" w14:textId="77777777" w:rsidR="00FA06DA" w:rsidRPr="00194E25" w:rsidRDefault="00FA06DA" w:rsidP="00FA06DA">
      <w:pPr>
        <w:autoSpaceDE w:val="0"/>
        <w:autoSpaceDN w:val="0"/>
        <w:adjustRightInd w:val="0"/>
        <w:spacing w:line="360" w:lineRule="auto"/>
        <w:rPr>
          <w:b/>
          <w:bCs/>
          <w:color w:val="000000"/>
        </w:rPr>
      </w:pPr>
    </w:p>
    <w:p w14:paraId="7DC8405F" w14:textId="03E4F530" w:rsidR="00F14758" w:rsidRPr="00194E25" w:rsidRDefault="00FA06DA" w:rsidP="00F14758">
      <w:pPr>
        <w:numPr>
          <w:ilvl w:val="1"/>
          <w:numId w:val="19"/>
        </w:numPr>
        <w:autoSpaceDE w:val="0"/>
        <w:autoSpaceDN w:val="0"/>
        <w:adjustRightInd w:val="0"/>
        <w:spacing w:line="360" w:lineRule="auto"/>
      </w:pPr>
      <w:r w:rsidRPr="00194E25">
        <w:t xml:space="preserve">The applicant can withdraw their complaint at any stage in the process, by writing to the </w:t>
      </w:r>
      <w:r w:rsidR="00631C3C" w:rsidRPr="00194E25">
        <w:t>Dean of Postgraduate Medical Studies</w:t>
      </w:r>
      <w:r w:rsidR="00AF3712">
        <w:t xml:space="preserve">.  </w:t>
      </w:r>
      <w:r w:rsidRPr="00194E25">
        <w:t xml:space="preserve">This will then terminate the process. </w:t>
      </w:r>
    </w:p>
    <w:p w14:paraId="065A85EF" w14:textId="77777777" w:rsidR="00F14758" w:rsidRPr="00194E25" w:rsidRDefault="00F14758" w:rsidP="00F14758">
      <w:pPr>
        <w:pStyle w:val="ListParagraph"/>
      </w:pPr>
    </w:p>
    <w:p w14:paraId="59D0DA65" w14:textId="109DAA80" w:rsidR="00A425C6" w:rsidRPr="00194E25" w:rsidRDefault="00FA06DA" w:rsidP="00F14758">
      <w:pPr>
        <w:numPr>
          <w:ilvl w:val="1"/>
          <w:numId w:val="19"/>
        </w:numPr>
        <w:autoSpaceDE w:val="0"/>
        <w:autoSpaceDN w:val="0"/>
        <w:adjustRightInd w:val="0"/>
        <w:spacing w:line="360" w:lineRule="auto"/>
      </w:pPr>
      <w:r w:rsidRPr="00194E25">
        <w:t xml:space="preserve">The </w:t>
      </w:r>
      <w:r w:rsidR="00AF3712" w:rsidRPr="00194E25">
        <w:t>school</w:t>
      </w:r>
      <w:r w:rsidRPr="00194E25">
        <w:t xml:space="preserve"> encourages the </w:t>
      </w:r>
      <w:r w:rsidR="00AF3712">
        <w:t xml:space="preserve">foundation doctor </w:t>
      </w:r>
      <w:r w:rsidRPr="00194E25">
        <w:t xml:space="preserve">to have appropriate representation and </w:t>
      </w:r>
      <w:r w:rsidR="00A425C6" w:rsidRPr="00194E25">
        <w:t>support available at all appeals hearings.</w:t>
      </w:r>
    </w:p>
    <w:p w14:paraId="3C5733DA" w14:textId="77777777" w:rsidR="00A425C6" w:rsidRPr="00194E25" w:rsidRDefault="00A425C6" w:rsidP="00A425C6">
      <w:pPr>
        <w:pStyle w:val="ListParagraph"/>
      </w:pPr>
    </w:p>
    <w:bookmarkEnd w:id="0"/>
    <w:bookmarkEnd w:id="1"/>
    <w:p w14:paraId="786CFFE5" w14:textId="77777777" w:rsidR="00194E84" w:rsidRDefault="00194E84" w:rsidP="00FA06DA">
      <w:pPr>
        <w:autoSpaceDE w:val="0"/>
        <w:autoSpaceDN w:val="0"/>
        <w:adjustRightInd w:val="0"/>
        <w:rPr>
          <w:bCs/>
          <w:color w:val="000000"/>
          <w:sz w:val="23"/>
          <w:szCs w:val="23"/>
        </w:rPr>
      </w:pPr>
    </w:p>
    <w:sectPr w:rsidR="00194E84" w:rsidSect="0013456A">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EC1B" w14:textId="77777777" w:rsidR="00A80E69" w:rsidRDefault="00A80E69" w:rsidP="00401ED0">
      <w:r>
        <w:separator/>
      </w:r>
    </w:p>
  </w:endnote>
  <w:endnote w:type="continuationSeparator" w:id="0">
    <w:p w14:paraId="081E82D7" w14:textId="77777777" w:rsidR="00A80E69" w:rsidRDefault="00A80E69" w:rsidP="0040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A2A7" w14:textId="77777777" w:rsidR="00A80E69" w:rsidRDefault="00A80E69" w:rsidP="00401ED0">
      <w:r>
        <w:separator/>
      </w:r>
    </w:p>
  </w:footnote>
  <w:footnote w:type="continuationSeparator" w:id="0">
    <w:p w14:paraId="7D0A7744" w14:textId="77777777" w:rsidR="00A80E69" w:rsidRDefault="00A80E69" w:rsidP="0040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7289" w14:textId="0A363C2C" w:rsidR="00631C3C" w:rsidRDefault="00194E25">
    <w:pPr>
      <w:pStyle w:val="Header"/>
    </w:pPr>
    <w:r>
      <w:rPr>
        <w:noProof/>
      </w:rPr>
      <w:pict w14:anchorId="1EFC0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57.5pt;margin-top:-11.25pt;width:242.4pt;height:37.9pt;z-index:251659264">
          <v:imagedata r:id="rId1" o:title=""/>
        </v:shape>
      </w:pict>
    </w:r>
    <w:r w:rsidR="00061E7E">
      <w:rPr>
        <w:noProof/>
      </w:rPr>
      <w:pict w14:anchorId="3FEE5091">
        <v:shape id="_x0000_s2051" type="#_x0000_t75" style="position:absolute;margin-left:403.5pt;margin-top:-20.25pt;width:81.35pt;height:78pt;z-index:251658240">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1D0"/>
    <w:multiLevelType w:val="hybridMultilevel"/>
    <w:tmpl w:val="0CE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5415"/>
    <w:multiLevelType w:val="hybridMultilevel"/>
    <w:tmpl w:val="F77AA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A4737"/>
    <w:multiLevelType w:val="hybridMultilevel"/>
    <w:tmpl w:val="76D66C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B51058"/>
    <w:multiLevelType w:val="hybridMultilevel"/>
    <w:tmpl w:val="44748C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A2233"/>
    <w:multiLevelType w:val="hybridMultilevel"/>
    <w:tmpl w:val="7C1231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092582"/>
    <w:multiLevelType w:val="hybridMultilevel"/>
    <w:tmpl w:val="49165A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4517C6"/>
    <w:multiLevelType w:val="hybridMultilevel"/>
    <w:tmpl w:val="74520D10"/>
    <w:lvl w:ilvl="0" w:tplc="08090001">
      <w:start w:val="1"/>
      <w:numFmt w:val="bullet"/>
      <w:lvlText w:val=""/>
      <w:lvlJc w:val="left"/>
      <w:pPr>
        <w:tabs>
          <w:tab w:val="num" w:pos="720"/>
        </w:tabs>
        <w:ind w:left="720" w:hanging="360"/>
      </w:pPr>
      <w:rPr>
        <w:rFonts w:ascii="Symbol" w:hAnsi="Symbol" w:hint="default"/>
      </w:rPr>
    </w:lvl>
    <w:lvl w:ilvl="1" w:tplc="1E0AE3AA">
      <w:start w:val="2"/>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E0227E"/>
    <w:multiLevelType w:val="hybridMultilevel"/>
    <w:tmpl w:val="E07EDF78"/>
    <w:lvl w:ilvl="0" w:tplc="08090001">
      <w:start w:val="1"/>
      <w:numFmt w:val="bullet"/>
      <w:lvlText w:val=""/>
      <w:lvlJc w:val="left"/>
      <w:pPr>
        <w:tabs>
          <w:tab w:val="num" w:pos="720"/>
        </w:tabs>
        <w:ind w:left="720" w:hanging="360"/>
      </w:pPr>
      <w:rPr>
        <w:rFonts w:ascii="Symbol" w:hAnsi="Symbol" w:hint="default"/>
      </w:rPr>
    </w:lvl>
    <w:lvl w:ilvl="1" w:tplc="1E0AE3AA">
      <w:start w:val="2"/>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1669E6"/>
    <w:multiLevelType w:val="hybridMultilevel"/>
    <w:tmpl w:val="FC248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4B1051"/>
    <w:multiLevelType w:val="hybridMultilevel"/>
    <w:tmpl w:val="2EC0D2A6"/>
    <w:lvl w:ilvl="0" w:tplc="0BD42046">
      <w:start w:val="1"/>
      <w:numFmt w:val="decimal"/>
      <w:lvlText w:val="%1."/>
      <w:lvlJc w:val="left"/>
      <w:pPr>
        <w:tabs>
          <w:tab w:val="num" w:pos="720"/>
        </w:tabs>
        <w:ind w:left="720" w:hanging="360"/>
      </w:pPr>
      <w:rPr>
        <w:rFonts w:hint="default"/>
      </w:rPr>
    </w:lvl>
    <w:lvl w:ilvl="1" w:tplc="1E0AE3AA">
      <w:start w:val="2"/>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FD2B47"/>
    <w:multiLevelType w:val="hybridMultilevel"/>
    <w:tmpl w:val="C786EE04"/>
    <w:lvl w:ilvl="0" w:tplc="7000122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03A0F"/>
    <w:multiLevelType w:val="hybridMultilevel"/>
    <w:tmpl w:val="1BECA0B2"/>
    <w:lvl w:ilvl="0" w:tplc="1E0AE3AA">
      <w:start w:val="2"/>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2" w15:restartNumberingAfterBreak="0">
    <w:nsid w:val="4F6D3EFD"/>
    <w:multiLevelType w:val="hybridMultilevel"/>
    <w:tmpl w:val="BF107C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65324"/>
    <w:multiLevelType w:val="multilevel"/>
    <w:tmpl w:val="152EF458"/>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545E66E0"/>
    <w:multiLevelType w:val="hybridMultilevel"/>
    <w:tmpl w:val="A1BE908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720"/>
        </w:tabs>
        <w:ind w:left="720" w:hanging="360"/>
      </w:pPr>
      <w:rPr>
        <w:rFonts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A954A7"/>
    <w:multiLevelType w:val="hybridMultilevel"/>
    <w:tmpl w:val="9424BC06"/>
    <w:lvl w:ilvl="0" w:tplc="08090001">
      <w:start w:val="1"/>
      <w:numFmt w:val="bullet"/>
      <w:lvlText w:val=""/>
      <w:lvlJc w:val="left"/>
      <w:pPr>
        <w:tabs>
          <w:tab w:val="num" w:pos="720"/>
        </w:tabs>
        <w:ind w:left="720" w:hanging="360"/>
      </w:pPr>
      <w:rPr>
        <w:rFonts w:ascii="Symbol" w:hAnsi="Symbol" w:hint="default"/>
      </w:rPr>
    </w:lvl>
    <w:lvl w:ilvl="1" w:tplc="1E0AE3AA">
      <w:start w:val="2"/>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C56CCB"/>
    <w:multiLevelType w:val="hybridMultilevel"/>
    <w:tmpl w:val="420C54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D0E5B"/>
    <w:multiLevelType w:val="hybridMultilevel"/>
    <w:tmpl w:val="B984791C"/>
    <w:lvl w:ilvl="0" w:tplc="C688E4E0">
      <w:start w:val="18"/>
      <w:numFmt w:val="decimal"/>
      <w:lvlText w:val="%1"/>
      <w:lvlJc w:val="left"/>
      <w:pPr>
        <w:tabs>
          <w:tab w:val="num" w:pos="720"/>
        </w:tabs>
        <w:ind w:left="720" w:hanging="360"/>
      </w:pPr>
      <w:rPr>
        <w:rFonts w:hint="default"/>
      </w:rPr>
    </w:lvl>
    <w:lvl w:ilvl="1" w:tplc="5628A8AA">
      <w:start w:val="22"/>
      <w:numFmt w:val="decimal"/>
      <w:lvlText w:val="%2."/>
      <w:lvlJc w:val="left"/>
      <w:pPr>
        <w:tabs>
          <w:tab w:val="num" w:pos="1440"/>
        </w:tabs>
        <w:ind w:left="1440" w:hanging="360"/>
      </w:pPr>
      <w:rPr>
        <w:rFonts w:hint="default"/>
      </w:rPr>
    </w:lvl>
    <w:lvl w:ilvl="2" w:tplc="5D1ED79C">
      <w:start w:val="1"/>
      <w:numFmt w:val="lowerLetter"/>
      <w:lvlText w:val="%3)"/>
      <w:lvlJc w:val="left"/>
      <w:pPr>
        <w:tabs>
          <w:tab w:val="num" w:pos="2340"/>
        </w:tabs>
        <w:ind w:left="2340" w:hanging="360"/>
      </w:pPr>
      <w:rPr>
        <w:rFonts w:hint="default"/>
      </w:rPr>
    </w:lvl>
    <w:lvl w:ilvl="3" w:tplc="0BD4204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1B111B"/>
    <w:multiLevelType w:val="multilevel"/>
    <w:tmpl w:val="649649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1672E7"/>
    <w:multiLevelType w:val="hybridMultilevel"/>
    <w:tmpl w:val="C54ED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5832410">
    <w:abstractNumId w:val="17"/>
  </w:num>
  <w:num w:numId="2" w16cid:durableId="228425250">
    <w:abstractNumId w:val="9"/>
  </w:num>
  <w:num w:numId="3" w16cid:durableId="755517916">
    <w:abstractNumId w:val="7"/>
  </w:num>
  <w:num w:numId="4" w16cid:durableId="1327173168">
    <w:abstractNumId w:val="15"/>
  </w:num>
  <w:num w:numId="5" w16cid:durableId="1771780119">
    <w:abstractNumId w:val="19"/>
  </w:num>
  <w:num w:numId="6" w16cid:durableId="1988972905">
    <w:abstractNumId w:val="12"/>
  </w:num>
  <w:num w:numId="7" w16cid:durableId="1699963031">
    <w:abstractNumId w:val="4"/>
  </w:num>
  <w:num w:numId="8" w16cid:durableId="1471678515">
    <w:abstractNumId w:val="14"/>
  </w:num>
  <w:num w:numId="9" w16cid:durableId="1194535580">
    <w:abstractNumId w:val="2"/>
  </w:num>
  <w:num w:numId="10" w16cid:durableId="1350570592">
    <w:abstractNumId w:val="5"/>
  </w:num>
  <w:num w:numId="11" w16cid:durableId="259608677">
    <w:abstractNumId w:val="3"/>
  </w:num>
  <w:num w:numId="12" w16cid:durableId="2129738226">
    <w:abstractNumId w:val="6"/>
  </w:num>
  <w:num w:numId="13" w16cid:durableId="677268573">
    <w:abstractNumId w:val="11"/>
  </w:num>
  <w:num w:numId="14" w16cid:durableId="1215967588">
    <w:abstractNumId w:val="1"/>
  </w:num>
  <w:num w:numId="15" w16cid:durableId="425076274">
    <w:abstractNumId w:val="16"/>
  </w:num>
  <w:num w:numId="16" w16cid:durableId="191580661">
    <w:abstractNumId w:val="8"/>
  </w:num>
  <w:num w:numId="17" w16cid:durableId="1835029701">
    <w:abstractNumId w:val="18"/>
  </w:num>
  <w:num w:numId="18" w16cid:durableId="1575168480">
    <w:abstractNumId w:val="0"/>
  </w:num>
  <w:num w:numId="19" w16cid:durableId="520780616">
    <w:abstractNumId w:val="13"/>
  </w:num>
  <w:num w:numId="20" w16cid:durableId="1264072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E84"/>
    <w:rsid w:val="00004404"/>
    <w:rsid w:val="00031BD5"/>
    <w:rsid w:val="000359AB"/>
    <w:rsid w:val="00036E5D"/>
    <w:rsid w:val="00044439"/>
    <w:rsid w:val="0004764D"/>
    <w:rsid w:val="000513DE"/>
    <w:rsid w:val="00057071"/>
    <w:rsid w:val="000617C9"/>
    <w:rsid w:val="00061E7E"/>
    <w:rsid w:val="00064E33"/>
    <w:rsid w:val="000702E2"/>
    <w:rsid w:val="000724F9"/>
    <w:rsid w:val="00075337"/>
    <w:rsid w:val="00075917"/>
    <w:rsid w:val="00077AC1"/>
    <w:rsid w:val="00080698"/>
    <w:rsid w:val="00081412"/>
    <w:rsid w:val="000965AC"/>
    <w:rsid w:val="000A203B"/>
    <w:rsid w:val="000A2356"/>
    <w:rsid w:val="000C5FF9"/>
    <w:rsid w:val="000D4927"/>
    <w:rsid w:val="000D78AE"/>
    <w:rsid w:val="000E6B8C"/>
    <w:rsid w:val="000F1704"/>
    <w:rsid w:val="00102E49"/>
    <w:rsid w:val="00104D34"/>
    <w:rsid w:val="00107C7B"/>
    <w:rsid w:val="00111717"/>
    <w:rsid w:val="00116622"/>
    <w:rsid w:val="00127087"/>
    <w:rsid w:val="001316C5"/>
    <w:rsid w:val="0013456A"/>
    <w:rsid w:val="00141672"/>
    <w:rsid w:val="001512E4"/>
    <w:rsid w:val="00165DDE"/>
    <w:rsid w:val="0017351E"/>
    <w:rsid w:val="00185E1E"/>
    <w:rsid w:val="00191866"/>
    <w:rsid w:val="00194E25"/>
    <w:rsid w:val="00194E84"/>
    <w:rsid w:val="001B09ED"/>
    <w:rsid w:val="001B1097"/>
    <w:rsid w:val="001C0316"/>
    <w:rsid w:val="001D2F63"/>
    <w:rsid w:val="001D5D1C"/>
    <w:rsid w:val="001F02F2"/>
    <w:rsid w:val="001F3F7E"/>
    <w:rsid w:val="0020194D"/>
    <w:rsid w:val="00203522"/>
    <w:rsid w:val="0021065F"/>
    <w:rsid w:val="00213B4D"/>
    <w:rsid w:val="00217FB2"/>
    <w:rsid w:val="002232AB"/>
    <w:rsid w:val="0022475A"/>
    <w:rsid w:val="00233239"/>
    <w:rsid w:val="00233C0D"/>
    <w:rsid w:val="00234958"/>
    <w:rsid w:val="002360CC"/>
    <w:rsid w:val="00241ADA"/>
    <w:rsid w:val="002457CC"/>
    <w:rsid w:val="00263191"/>
    <w:rsid w:val="00273335"/>
    <w:rsid w:val="0029094A"/>
    <w:rsid w:val="002957B7"/>
    <w:rsid w:val="002A54BB"/>
    <w:rsid w:val="002B66BF"/>
    <w:rsid w:val="002E222A"/>
    <w:rsid w:val="002E4091"/>
    <w:rsid w:val="002F26E5"/>
    <w:rsid w:val="002F2C03"/>
    <w:rsid w:val="002F424E"/>
    <w:rsid w:val="002F62A0"/>
    <w:rsid w:val="00301207"/>
    <w:rsid w:val="00302693"/>
    <w:rsid w:val="003038F5"/>
    <w:rsid w:val="00304DE7"/>
    <w:rsid w:val="003051EF"/>
    <w:rsid w:val="00306577"/>
    <w:rsid w:val="00312BF4"/>
    <w:rsid w:val="00321EE0"/>
    <w:rsid w:val="00325350"/>
    <w:rsid w:val="0033452D"/>
    <w:rsid w:val="003358C3"/>
    <w:rsid w:val="00336725"/>
    <w:rsid w:val="003379DB"/>
    <w:rsid w:val="003409AD"/>
    <w:rsid w:val="003520F6"/>
    <w:rsid w:val="003616F4"/>
    <w:rsid w:val="00363AD7"/>
    <w:rsid w:val="00364104"/>
    <w:rsid w:val="00364591"/>
    <w:rsid w:val="0037522B"/>
    <w:rsid w:val="00376DB8"/>
    <w:rsid w:val="003873D3"/>
    <w:rsid w:val="003946E2"/>
    <w:rsid w:val="00394904"/>
    <w:rsid w:val="003A44C5"/>
    <w:rsid w:val="003B7F04"/>
    <w:rsid w:val="003C0C88"/>
    <w:rsid w:val="003D05B4"/>
    <w:rsid w:val="003D4FAF"/>
    <w:rsid w:val="003E334D"/>
    <w:rsid w:val="003F4050"/>
    <w:rsid w:val="00400EBB"/>
    <w:rsid w:val="00401ED0"/>
    <w:rsid w:val="0040657F"/>
    <w:rsid w:val="00406637"/>
    <w:rsid w:val="00407A99"/>
    <w:rsid w:val="00432BEF"/>
    <w:rsid w:val="00451CD3"/>
    <w:rsid w:val="00465DBC"/>
    <w:rsid w:val="004719C2"/>
    <w:rsid w:val="00472ABB"/>
    <w:rsid w:val="00474766"/>
    <w:rsid w:val="00474E29"/>
    <w:rsid w:val="00476004"/>
    <w:rsid w:val="00484F59"/>
    <w:rsid w:val="00497307"/>
    <w:rsid w:val="00497CBA"/>
    <w:rsid w:val="004A6555"/>
    <w:rsid w:val="004B1809"/>
    <w:rsid w:val="004B6F5A"/>
    <w:rsid w:val="004C33C8"/>
    <w:rsid w:val="004C6430"/>
    <w:rsid w:val="004D4869"/>
    <w:rsid w:val="004E12DA"/>
    <w:rsid w:val="004E37DF"/>
    <w:rsid w:val="004E5AD0"/>
    <w:rsid w:val="004F3BAC"/>
    <w:rsid w:val="00501BAD"/>
    <w:rsid w:val="00502558"/>
    <w:rsid w:val="005065C3"/>
    <w:rsid w:val="00514417"/>
    <w:rsid w:val="005165DF"/>
    <w:rsid w:val="00522AB3"/>
    <w:rsid w:val="005241EB"/>
    <w:rsid w:val="0052566F"/>
    <w:rsid w:val="0053621F"/>
    <w:rsid w:val="00554045"/>
    <w:rsid w:val="00557458"/>
    <w:rsid w:val="005722A1"/>
    <w:rsid w:val="005722C4"/>
    <w:rsid w:val="00572B98"/>
    <w:rsid w:val="00577CC1"/>
    <w:rsid w:val="00581EFA"/>
    <w:rsid w:val="00584948"/>
    <w:rsid w:val="00593478"/>
    <w:rsid w:val="0059484A"/>
    <w:rsid w:val="005B17F9"/>
    <w:rsid w:val="005C0241"/>
    <w:rsid w:val="005C1A10"/>
    <w:rsid w:val="005C1CDB"/>
    <w:rsid w:val="005C2373"/>
    <w:rsid w:val="005C46C1"/>
    <w:rsid w:val="005D2AFF"/>
    <w:rsid w:val="005D6B89"/>
    <w:rsid w:val="005E092A"/>
    <w:rsid w:val="005E31B6"/>
    <w:rsid w:val="005E5908"/>
    <w:rsid w:val="005E71FA"/>
    <w:rsid w:val="005F47F1"/>
    <w:rsid w:val="00601159"/>
    <w:rsid w:val="00601CC4"/>
    <w:rsid w:val="0060381C"/>
    <w:rsid w:val="00622023"/>
    <w:rsid w:val="00631237"/>
    <w:rsid w:val="00631C3C"/>
    <w:rsid w:val="00651E99"/>
    <w:rsid w:val="00652F9F"/>
    <w:rsid w:val="006536D6"/>
    <w:rsid w:val="00655A1C"/>
    <w:rsid w:val="00662B14"/>
    <w:rsid w:val="0067297E"/>
    <w:rsid w:val="00673C54"/>
    <w:rsid w:val="006753EA"/>
    <w:rsid w:val="006903A7"/>
    <w:rsid w:val="00691F58"/>
    <w:rsid w:val="006A5A7B"/>
    <w:rsid w:val="006B0BAA"/>
    <w:rsid w:val="006C1EA9"/>
    <w:rsid w:val="006D1C10"/>
    <w:rsid w:val="006E3FD2"/>
    <w:rsid w:val="006E4B9C"/>
    <w:rsid w:val="006E5EBE"/>
    <w:rsid w:val="006F4298"/>
    <w:rsid w:val="00707671"/>
    <w:rsid w:val="00710879"/>
    <w:rsid w:val="00722164"/>
    <w:rsid w:val="007255ED"/>
    <w:rsid w:val="0073774A"/>
    <w:rsid w:val="0075016B"/>
    <w:rsid w:val="00757B52"/>
    <w:rsid w:val="00763D50"/>
    <w:rsid w:val="00771A24"/>
    <w:rsid w:val="00773BA9"/>
    <w:rsid w:val="00773E49"/>
    <w:rsid w:val="00775D70"/>
    <w:rsid w:val="0077752C"/>
    <w:rsid w:val="00780906"/>
    <w:rsid w:val="00781082"/>
    <w:rsid w:val="00782169"/>
    <w:rsid w:val="0078696F"/>
    <w:rsid w:val="0078770B"/>
    <w:rsid w:val="007949B7"/>
    <w:rsid w:val="007964C1"/>
    <w:rsid w:val="00797DC9"/>
    <w:rsid w:val="007A1E32"/>
    <w:rsid w:val="007A481E"/>
    <w:rsid w:val="007A7313"/>
    <w:rsid w:val="007D00AC"/>
    <w:rsid w:val="007D1E2B"/>
    <w:rsid w:val="007D2A67"/>
    <w:rsid w:val="007F3D00"/>
    <w:rsid w:val="00800356"/>
    <w:rsid w:val="00801C9D"/>
    <w:rsid w:val="00816CF0"/>
    <w:rsid w:val="00830919"/>
    <w:rsid w:val="00836DD7"/>
    <w:rsid w:val="0084358C"/>
    <w:rsid w:val="00845724"/>
    <w:rsid w:val="00847A8D"/>
    <w:rsid w:val="00850221"/>
    <w:rsid w:val="00856823"/>
    <w:rsid w:val="008609BC"/>
    <w:rsid w:val="00861808"/>
    <w:rsid w:val="00870BBE"/>
    <w:rsid w:val="008874A5"/>
    <w:rsid w:val="00891DEC"/>
    <w:rsid w:val="008A02C9"/>
    <w:rsid w:val="008A40C5"/>
    <w:rsid w:val="008A7BDC"/>
    <w:rsid w:val="008B06C2"/>
    <w:rsid w:val="008B08CC"/>
    <w:rsid w:val="008D67F8"/>
    <w:rsid w:val="008E197B"/>
    <w:rsid w:val="008E214E"/>
    <w:rsid w:val="008E7B41"/>
    <w:rsid w:val="008F30C5"/>
    <w:rsid w:val="008F3670"/>
    <w:rsid w:val="008F5464"/>
    <w:rsid w:val="00902DA5"/>
    <w:rsid w:val="00907244"/>
    <w:rsid w:val="009111DE"/>
    <w:rsid w:val="00913F34"/>
    <w:rsid w:val="00914CC3"/>
    <w:rsid w:val="0091660E"/>
    <w:rsid w:val="009303C2"/>
    <w:rsid w:val="0095002B"/>
    <w:rsid w:val="0095478A"/>
    <w:rsid w:val="00961D92"/>
    <w:rsid w:val="009647EC"/>
    <w:rsid w:val="00967687"/>
    <w:rsid w:val="00976FC2"/>
    <w:rsid w:val="009936BA"/>
    <w:rsid w:val="009A0407"/>
    <w:rsid w:val="009A2B10"/>
    <w:rsid w:val="009A5C4C"/>
    <w:rsid w:val="009B11F8"/>
    <w:rsid w:val="009B792E"/>
    <w:rsid w:val="009C1B42"/>
    <w:rsid w:val="009D0933"/>
    <w:rsid w:val="009D54A2"/>
    <w:rsid w:val="009E362C"/>
    <w:rsid w:val="009E6E8A"/>
    <w:rsid w:val="00A0196B"/>
    <w:rsid w:val="00A04B9A"/>
    <w:rsid w:val="00A2518F"/>
    <w:rsid w:val="00A272FD"/>
    <w:rsid w:val="00A36538"/>
    <w:rsid w:val="00A36CDA"/>
    <w:rsid w:val="00A40011"/>
    <w:rsid w:val="00A40926"/>
    <w:rsid w:val="00A425C6"/>
    <w:rsid w:val="00A62029"/>
    <w:rsid w:val="00A6281C"/>
    <w:rsid w:val="00A720E1"/>
    <w:rsid w:val="00A73D0C"/>
    <w:rsid w:val="00A77C6E"/>
    <w:rsid w:val="00A80E69"/>
    <w:rsid w:val="00A834B2"/>
    <w:rsid w:val="00A90819"/>
    <w:rsid w:val="00A90C9D"/>
    <w:rsid w:val="00A912C1"/>
    <w:rsid w:val="00A92F93"/>
    <w:rsid w:val="00A972A6"/>
    <w:rsid w:val="00AA031F"/>
    <w:rsid w:val="00AA22A9"/>
    <w:rsid w:val="00AA2EE4"/>
    <w:rsid w:val="00AA4E49"/>
    <w:rsid w:val="00AA57BD"/>
    <w:rsid w:val="00AB13CC"/>
    <w:rsid w:val="00AB65D8"/>
    <w:rsid w:val="00AC3694"/>
    <w:rsid w:val="00AD34BB"/>
    <w:rsid w:val="00AD35EB"/>
    <w:rsid w:val="00AE074D"/>
    <w:rsid w:val="00AE2051"/>
    <w:rsid w:val="00AF0EC6"/>
    <w:rsid w:val="00AF2321"/>
    <w:rsid w:val="00AF3712"/>
    <w:rsid w:val="00B001E2"/>
    <w:rsid w:val="00B010B8"/>
    <w:rsid w:val="00B063E5"/>
    <w:rsid w:val="00B1657F"/>
    <w:rsid w:val="00B25C62"/>
    <w:rsid w:val="00B32D19"/>
    <w:rsid w:val="00B50181"/>
    <w:rsid w:val="00B57B9B"/>
    <w:rsid w:val="00B61106"/>
    <w:rsid w:val="00B65B59"/>
    <w:rsid w:val="00B84EB3"/>
    <w:rsid w:val="00B91867"/>
    <w:rsid w:val="00B94DF6"/>
    <w:rsid w:val="00BA1EEC"/>
    <w:rsid w:val="00BB2A60"/>
    <w:rsid w:val="00BC2BF6"/>
    <w:rsid w:val="00BC69B5"/>
    <w:rsid w:val="00BD6E77"/>
    <w:rsid w:val="00BE3996"/>
    <w:rsid w:val="00BE6094"/>
    <w:rsid w:val="00BF0963"/>
    <w:rsid w:val="00BF28C8"/>
    <w:rsid w:val="00BF2A9D"/>
    <w:rsid w:val="00BF4E19"/>
    <w:rsid w:val="00C012CA"/>
    <w:rsid w:val="00C05B15"/>
    <w:rsid w:val="00C14118"/>
    <w:rsid w:val="00C209A9"/>
    <w:rsid w:val="00C20ADE"/>
    <w:rsid w:val="00C212E1"/>
    <w:rsid w:val="00C21EBD"/>
    <w:rsid w:val="00C27BB4"/>
    <w:rsid w:val="00C30B6C"/>
    <w:rsid w:val="00C3541F"/>
    <w:rsid w:val="00C41833"/>
    <w:rsid w:val="00C47CB8"/>
    <w:rsid w:val="00C501D1"/>
    <w:rsid w:val="00C53053"/>
    <w:rsid w:val="00C60FCD"/>
    <w:rsid w:val="00C6466D"/>
    <w:rsid w:val="00C66C83"/>
    <w:rsid w:val="00C7035F"/>
    <w:rsid w:val="00C7056A"/>
    <w:rsid w:val="00C73E90"/>
    <w:rsid w:val="00C8056C"/>
    <w:rsid w:val="00C84828"/>
    <w:rsid w:val="00C91393"/>
    <w:rsid w:val="00C93B4E"/>
    <w:rsid w:val="00CA2B32"/>
    <w:rsid w:val="00CC7A03"/>
    <w:rsid w:val="00CD0315"/>
    <w:rsid w:val="00CD6847"/>
    <w:rsid w:val="00CE0A70"/>
    <w:rsid w:val="00CE490F"/>
    <w:rsid w:val="00CF53DF"/>
    <w:rsid w:val="00D065E7"/>
    <w:rsid w:val="00D1611F"/>
    <w:rsid w:val="00D1700C"/>
    <w:rsid w:val="00D230BF"/>
    <w:rsid w:val="00D32D72"/>
    <w:rsid w:val="00D410C6"/>
    <w:rsid w:val="00D42E8D"/>
    <w:rsid w:val="00D653BA"/>
    <w:rsid w:val="00D66EDC"/>
    <w:rsid w:val="00D70231"/>
    <w:rsid w:val="00D76963"/>
    <w:rsid w:val="00D7795C"/>
    <w:rsid w:val="00D806E3"/>
    <w:rsid w:val="00D93138"/>
    <w:rsid w:val="00DC248F"/>
    <w:rsid w:val="00DC3D51"/>
    <w:rsid w:val="00DC408B"/>
    <w:rsid w:val="00DD54AA"/>
    <w:rsid w:val="00DE7BBA"/>
    <w:rsid w:val="00DE7DD7"/>
    <w:rsid w:val="00DF6974"/>
    <w:rsid w:val="00E15F2B"/>
    <w:rsid w:val="00E27E3B"/>
    <w:rsid w:val="00E315A3"/>
    <w:rsid w:val="00E31ACE"/>
    <w:rsid w:val="00E324D5"/>
    <w:rsid w:val="00E33A2F"/>
    <w:rsid w:val="00E37C34"/>
    <w:rsid w:val="00E40A91"/>
    <w:rsid w:val="00E43E77"/>
    <w:rsid w:val="00E4698C"/>
    <w:rsid w:val="00E527A2"/>
    <w:rsid w:val="00E651C5"/>
    <w:rsid w:val="00E82D38"/>
    <w:rsid w:val="00E860C0"/>
    <w:rsid w:val="00E9350C"/>
    <w:rsid w:val="00EA26E3"/>
    <w:rsid w:val="00EB4DB4"/>
    <w:rsid w:val="00EC1EAC"/>
    <w:rsid w:val="00ED1A11"/>
    <w:rsid w:val="00EE6260"/>
    <w:rsid w:val="00EF3FF4"/>
    <w:rsid w:val="00EF415C"/>
    <w:rsid w:val="00F10CA6"/>
    <w:rsid w:val="00F14758"/>
    <w:rsid w:val="00F1501F"/>
    <w:rsid w:val="00F150CF"/>
    <w:rsid w:val="00F16AEC"/>
    <w:rsid w:val="00F351CE"/>
    <w:rsid w:val="00F364C0"/>
    <w:rsid w:val="00F373A6"/>
    <w:rsid w:val="00F4229A"/>
    <w:rsid w:val="00F44D14"/>
    <w:rsid w:val="00F56525"/>
    <w:rsid w:val="00F766D9"/>
    <w:rsid w:val="00F770D2"/>
    <w:rsid w:val="00F81DB2"/>
    <w:rsid w:val="00F82505"/>
    <w:rsid w:val="00F84133"/>
    <w:rsid w:val="00F93A91"/>
    <w:rsid w:val="00F9750C"/>
    <w:rsid w:val="00FA06DA"/>
    <w:rsid w:val="00FA6C39"/>
    <w:rsid w:val="00FA6FFE"/>
    <w:rsid w:val="00FB2AC9"/>
    <w:rsid w:val="00FB5625"/>
    <w:rsid w:val="00FD28F1"/>
    <w:rsid w:val="00FF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5388E4"/>
  <w15:chartTrackingRefBased/>
  <w15:docId w15:val="{864DB152-F389-489A-8C54-10BC921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E8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94E84"/>
    <w:rPr>
      <w:sz w:val="16"/>
      <w:szCs w:val="16"/>
    </w:rPr>
  </w:style>
  <w:style w:type="paragraph" w:styleId="CommentText">
    <w:name w:val="annotation text"/>
    <w:basedOn w:val="Normal"/>
    <w:semiHidden/>
    <w:rsid w:val="00194E84"/>
    <w:rPr>
      <w:sz w:val="20"/>
      <w:szCs w:val="20"/>
    </w:rPr>
  </w:style>
  <w:style w:type="paragraph" w:styleId="BalloonText">
    <w:name w:val="Balloon Text"/>
    <w:basedOn w:val="Normal"/>
    <w:semiHidden/>
    <w:rsid w:val="00194E84"/>
    <w:rPr>
      <w:rFonts w:ascii="Tahoma" w:hAnsi="Tahoma" w:cs="Tahoma"/>
      <w:sz w:val="16"/>
      <w:szCs w:val="16"/>
    </w:rPr>
  </w:style>
  <w:style w:type="paragraph" w:styleId="CommentSubject">
    <w:name w:val="annotation subject"/>
    <w:basedOn w:val="CommentText"/>
    <w:next w:val="CommentText"/>
    <w:semiHidden/>
    <w:rsid w:val="00102E49"/>
    <w:rPr>
      <w:b/>
      <w:bCs/>
    </w:rPr>
  </w:style>
  <w:style w:type="paragraph" w:styleId="Header">
    <w:name w:val="header"/>
    <w:basedOn w:val="Normal"/>
    <w:link w:val="HeaderChar"/>
    <w:rsid w:val="00401ED0"/>
    <w:pPr>
      <w:tabs>
        <w:tab w:val="center" w:pos="4513"/>
        <w:tab w:val="right" w:pos="9026"/>
      </w:tabs>
    </w:pPr>
  </w:style>
  <w:style w:type="character" w:customStyle="1" w:styleId="HeaderChar">
    <w:name w:val="Header Char"/>
    <w:link w:val="Header"/>
    <w:rsid w:val="00401ED0"/>
    <w:rPr>
      <w:rFonts w:ascii="Arial" w:hAnsi="Arial" w:cs="Arial"/>
      <w:sz w:val="24"/>
      <w:szCs w:val="24"/>
    </w:rPr>
  </w:style>
  <w:style w:type="paragraph" w:styleId="Footer">
    <w:name w:val="footer"/>
    <w:basedOn w:val="Normal"/>
    <w:link w:val="FooterChar"/>
    <w:uiPriority w:val="99"/>
    <w:rsid w:val="00401ED0"/>
    <w:pPr>
      <w:tabs>
        <w:tab w:val="center" w:pos="4513"/>
        <w:tab w:val="right" w:pos="9026"/>
      </w:tabs>
    </w:pPr>
  </w:style>
  <w:style w:type="character" w:customStyle="1" w:styleId="FooterChar">
    <w:name w:val="Footer Char"/>
    <w:link w:val="Footer"/>
    <w:uiPriority w:val="99"/>
    <w:rsid w:val="00401ED0"/>
    <w:rPr>
      <w:rFonts w:ascii="Arial" w:hAnsi="Arial" w:cs="Arial"/>
      <w:sz w:val="24"/>
      <w:szCs w:val="24"/>
    </w:rPr>
  </w:style>
  <w:style w:type="character" w:styleId="Hyperlink">
    <w:name w:val="Hyperlink"/>
    <w:rsid w:val="00AB65D8"/>
    <w:rPr>
      <w:color w:val="0000FF"/>
      <w:u w:val="single"/>
    </w:rPr>
  </w:style>
  <w:style w:type="paragraph" w:styleId="ListParagraph">
    <w:name w:val="List Paragraph"/>
    <w:basedOn w:val="Normal"/>
    <w:uiPriority w:val="34"/>
    <w:qFormat/>
    <w:rsid w:val="00FA06DA"/>
    <w:pPr>
      <w:ind w:left="720"/>
    </w:pPr>
  </w:style>
  <w:style w:type="character" w:styleId="FollowedHyperlink">
    <w:name w:val="FollowedHyperlink"/>
    <w:basedOn w:val="DefaultParagraphFont"/>
    <w:rsid w:val="004065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undationprogramme.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undationprogramme.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A7E94BD29B34E923AD44F71C8BE28" ma:contentTypeVersion="21" ma:contentTypeDescription="Create a new document." ma:contentTypeScope="" ma:versionID="99b34e119450229f946a0f71445e2633">
  <xsd:schema xmlns:xsd="http://www.w3.org/2001/XMLSchema" xmlns:xs="http://www.w3.org/2001/XMLSchema" xmlns:p="http://schemas.microsoft.com/office/2006/metadata/properties" xmlns:ns1="http://schemas.microsoft.com/sharepoint/v3" xmlns:ns2="2a53c4ae-e912-4c22-a65d-5de74ea825af" xmlns:ns3="6099b812-4d9c-462e-9969-88c2db093ff4" targetNamespace="http://schemas.microsoft.com/office/2006/metadata/properties" ma:root="true" ma:fieldsID="8f30cd8c19eb052323808a3df6f714cb" ns1:_="" ns2:_="" ns3:_="">
    <xsd:import namespace="http://schemas.microsoft.com/sharepoint/v3"/>
    <xsd:import namespace="2a53c4ae-e912-4c22-a65d-5de74ea825af"/>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3c4ae-e912-4c22-a65d-5de74ea825a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98b514-6664-4d7e-b802-dbfc9ff1b275}"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3c4ae-e912-4c22-a65d-5de74ea825a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099b812-4d9c-462e-9969-88c2db093ff4" xsi:nil="true"/>
  </documentManagement>
</p:properties>
</file>

<file path=customXml/itemProps1.xml><?xml version="1.0" encoding="utf-8"?>
<ds:datastoreItem xmlns:ds="http://schemas.openxmlformats.org/officeDocument/2006/customXml" ds:itemID="{FBC4C33C-0EA1-4BF0-B29F-9ED4E382E340}">
  <ds:schemaRefs>
    <ds:schemaRef ds:uri="http://schemas.microsoft.com/sharepoint/v3/contenttype/forms"/>
  </ds:schemaRefs>
</ds:datastoreItem>
</file>

<file path=customXml/itemProps2.xml><?xml version="1.0" encoding="utf-8"?>
<ds:datastoreItem xmlns:ds="http://schemas.openxmlformats.org/officeDocument/2006/customXml" ds:itemID="{4CF7AE5F-DB7C-4DD4-BBC5-3A8A3C90EBC3}">
  <ds:schemaRefs>
    <ds:schemaRef ds:uri="http://schemas.microsoft.com/office/2006/metadata/longProperties"/>
  </ds:schemaRefs>
</ds:datastoreItem>
</file>

<file path=customXml/itemProps3.xml><?xml version="1.0" encoding="utf-8"?>
<ds:datastoreItem xmlns:ds="http://schemas.openxmlformats.org/officeDocument/2006/customXml" ds:itemID="{9A4854CE-9656-4D22-A103-C4A94CD9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53c4ae-e912-4c22-a65d-5de74ea825af"/>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0B133-135C-4BE5-8796-1616527657AD}">
  <ds:schemaRefs>
    <ds:schemaRef ds:uri="http://purl.org/dc/terms/"/>
    <ds:schemaRef ds:uri="http://www.w3.org/XML/1998/namespace"/>
    <ds:schemaRef ds:uri="http://purl.org/dc/elements/1.1/"/>
    <ds:schemaRef ds:uri="2a53c4ae-e912-4c22-a65d-5de74ea825af"/>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099b812-4d9c-462e-9969-88c2db093ff4"/>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701</Words>
  <Characters>4099</Characters>
  <Application>Microsoft Office Word</Application>
  <DocSecurity>0</DocSecurity>
  <Lines>146</Lines>
  <Paragraphs>57</Paragraphs>
  <ScaleCrop>false</ScaleCrop>
  <HeadingPairs>
    <vt:vector size="2" baseType="variant">
      <vt:variant>
        <vt:lpstr>Title</vt:lpstr>
      </vt:variant>
      <vt:variant>
        <vt:i4>1</vt:i4>
      </vt:variant>
    </vt:vector>
  </HeadingPairs>
  <TitlesOfParts>
    <vt:vector size="1" baseType="lpstr">
      <vt:lpstr>North Western Deanery Foundation School Advisory notes – Appeals process – advice to Foundation Trainees</vt:lpstr>
    </vt:vector>
  </TitlesOfParts>
  <Company>North Western Deanery</Company>
  <LinksUpToDate>false</LinksUpToDate>
  <CharactersWithSpaces>4743</CharactersWithSpaces>
  <SharedDoc>false</SharedDoc>
  <HLinks>
    <vt:vector size="12" baseType="variant">
      <vt:variant>
        <vt:i4>6619181</vt:i4>
      </vt:variant>
      <vt:variant>
        <vt:i4>3</vt:i4>
      </vt:variant>
      <vt:variant>
        <vt:i4>0</vt:i4>
      </vt:variant>
      <vt:variant>
        <vt:i4>5</vt:i4>
      </vt:variant>
      <vt:variant>
        <vt:lpwstr>http://www.foundationprogramme.nhs.uk/</vt:lpwstr>
      </vt:variant>
      <vt:variant>
        <vt:lpwstr/>
      </vt:variant>
      <vt:variant>
        <vt:i4>6619181</vt:i4>
      </vt:variant>
      <vt:variant>
        <vt:i4>0</vt:i4>
      </vt:variant>
      <vt:variant>
        <vt:i4>0</vt:i4>
      </vt:variant>
      <vt:variant>
        <vt:i4>5</vt:i4>
      </vt:variant>
      <vt:variant>
        <vt:lpwstr>http://www.foundationprogramme.nhs.uk/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Western Deanery Foundation School Advisory notes – Appeals process – advice to Foundation Trainees</dc:title>
  <dc:subject/>
  <dc:creator>m.johnson</dc:creator>
  <cp:keywords/>
  <cp:lastModifiedBy>PHAZEY-BAINES, Jacqui (NHS ENGLAND)</cp:lastModifiedBy>
  <cp:revision>20</cp:revision>
  <cp:lastPrinted>2009-08-21T14:07:00Z</cp:lastPrinted>
  <dcterms:created xsi:type="dcterms:W3CDTF">2025-12-30T15:14:00Z</dcterms:created>
  <dcterms:modified xsi:type="dcterms:W3CDTF">2025-12-30T15:31:00Z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LAWTON, Jake (NHS ENGLAND - T1510)</vt:lpwstr>
  </property>
  <property fmtid="{D5CDD505-2E9C-101B-9397-08002B2CF9AE}" pid="4" name="Order">
    <vt:lpwstr>51400.0000000000</vt:lpwstr>
  </property>
  <property fmtid="{D5CDD505-2E9C-101B-9397-08002B2CF9AE}" pid="5" name="_ExtendedDescription">
    <vt:lpwstr/>
  </property>
  <property fmtid="{D5CDD505-2E9C-101B-9397-08002B2CF9AE}" pid="6" name="display_urn:schemas-microsoft-com:office:office#Author">
    <vt:lpwstr>LAWTON, Jake (NHS ENGLAND - T1510)</vt:lpwstr>
  </property>
  <property fmtid="{D5CDD505-2E9C-101B-9397-08002B2CF9AE}" pid="7" name="MediaServiceImageTags">
    <vt:lpwstr/>
  </property>
  <property fmtid="{D5CDD505-2E9C-101B-9397-08002B2CF9AE}" pid="8" name="ContentTypeId">
    <vt:lpwstr>0x0101000CAA7E94BD29B34E923AD44F71C8BE28</vt:lpwstr>
  </property>
</Properties>
</file>