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C0EA" w14:textId="17463C14" w:rsidR="008E1B51" w:rsidRPr="005F05EC" w:rsidRDefault="00775BAE" w:rsidP="005F05EC">
      <w:pPr>
        <w:pStyle w:val="Title"/>
        <w:jc w:val="center"/>
        <w:rPr>
          <w:b/>
          <w:bCs/>
          <w:sz w:val="40"/>
          <w:szCs w:val="40"/>
        </w:rPr>
      </w:pPr>
      <w:r>
        <w:rPr>
          <w:b/>
          <w:bCs/>
          <w:noProof/>
          <w:sz w:val="40"/>
          <w:szCs w:val="40"/>
        </w:rPr>
        <w:drawing>
          <wp:anchor distT="0" distB="0" distL="114300" distR="114300" simplePos="0" relativeHeight="251658240" behindDoc="1" locked="0" layoutInCell="1" allowOverlap="1" wp14:anchorId="0B319443" wp14:editId="651A5868">
            <wp:simplePos x="0" y="0"/>
            <wp:positionH relativeFrom="column">
              <wp:posOffset>4099560</wp:posOffset>
            </wp:positionH>
            <wp:positionV relativeFrom="paragraph">
              <wp:posOffset>-609600</wp:posOffset>
            </wp:positionV>
            <wp:extent cx="1767840" cy="600075"/>
            <wp:effectExtent l="0" t="0" r="3810" b="9525"/>
            <wp:wrapNone/>
            <wp:docPr id="779489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84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19AC">
        <w:rPr>
          <w:b/>
          <w:bCs/>
          <w:sz w:val="40"/>
          <w:szCs w:val="40"/>
        </w:rPr>
        <w:t>Northern Care Alliance</w:t>
      </w:r>
      <w:r w:rsidR="001C43F0" w:rsidRPr="005F05EC">
        <w:rPr>
          <w:b/>
          <w:bCs/>
          <w:sz w:val="40"/>
          <w:szCs w:val="40"/>
        </w:rPr>
        <w:t xml:space="preserve"> – Training Prospectus</w:t>
      </w:r>
    </w:p>
    <w:p w14:paraId="187BAC05" w14:textId="4D82355E" w:rsidR="001C43F0" w:rsidRDefault="001C43F0"/>
    <w:p w14:paraId="288892C8" w14:textId="6F8D952C" w:rsidR="00A67516" w:rsidRPr="005F05EC" w:rsidRDefault="00A67516" w:rsidP="005F05EC">
      <w:pPr>
        <w:pStyle w:val="ListParagraph"/>
        <w:numPr>
          <w:ilvl w:val="0"/>
          <w:numId w:val="7"/>
        </w:numPr>
        <w:rPr>
          <w:b/>
          <w:bCs/>
        </w:rPr>
      </w:pPr>
      <w:r w:rsidRPr="005F05EC">
        <w:rPr>
          <w:b/>
          <w:bCs/>
        </w:rPr>
        <w:t>Introduction</w:t>
      </w:r>
    </w:p>
    <w:p w14:paraId="104C30B7" w14:textId="3A99EF09" w:rsidR="0071774E" w:rsidRDefault="0071774E" w:rsidP="00A67516">
      <w:r w:rsidRPr="0071774E">
        <w:t xml:space="preserve">This prospectus outlines the public health training opportunities available at the </w:t>
      </w:r>
      <w:hyperlink r:id="rId9" w:history="1">
        <w:r w:rsidRPr="0071774E">
          <w:rPr>
            <w:rStyle w:val="Hyperlink"/>
          </w:rPr>
          <w:t>Northern Care Alliance NHS Foundation Trust</w:t>
        </w:r>
      </w:hyperlink>
      <w:r w:rsidRPr="0071774E">
        <w:t xml:space="preserve"> (NCA). It sets out what specialty registrars (</w:t>
      </w:r>
      <w:proofErr w:type="spellStart"/>
      <w:r w:rsidRPr="0071774E">
        <w:t>StRs</w:t>
      </w:r>
      <w:proofErr w:type="spellEnd"/>
      <w:r w:rsidRPr="0071774E">
        <w:t xml:space="preserve">) can expect from a placement within the Trust and should be read alongside the Faculty of Public Health </w:t>
      </w:r>
      <w:hyperlink r:id="rId10" w:history="1">
        <w:r w:rsidRPr="00DA5E61">
          <w:rPr>
            <w:rStyle w:val="Hyperlink"/>
            <w:spacing w:val="-2"/>
          </w:rPr>
          <w:t>curriculum</w:t>
        </w:r>
      </w:hyperlink>
      <w:r w:rsidRPr="0071774E">
        <w:t xml:space="preserve"> and the guidance provided by </w:t>
      </w:r>
      <w:hyperlink r:id="rId11" w:history="1">
        <w:r w:rsidR="00D83710" w:rsidRPr="00D83710">
          <w:rPr>
            <w:rStyle w:val="Hyperlink"/>
          </w:rPr>
          <w:t xml:space="preserve">NHS England </w:t>
        </w:r>
        <w:r w:rsidRPr="00D83710">
          <w:rPr>
            <w:rStyle w:val="Hyperlink"/>
          </w:rPr>
          <w:t>North West</w:t>
        </w:r>
      </w:hyperlink>
      <w:r w:rsidRPr="0071774E">
        <w:t>.</w:t>
      </w:r>
    </w:p>
    <w:p w14:paraId="469E09E6" w14:textId="77777777" w:rsidR="00F358C5" w:rsidRDefault="00F358C5" w:rsidP="00F358C5"/>
    <w:p w14:paraId="487669AD" w14:textId="1F832B24" w:rsidR="001C43F0" w:rsidRPr="005F05EC" w:rsidRDefault="001C43F0" w:rsidP="005F05EC">
      <w:pPr>
        <w:pStyle w:val="ListParagraph"/>
        <w:numPr>
          <w:ilvl w:val="0"/>
          <w:numId w:val="7"/>
        </w:numPr>
        <w:rPr>
          <w:b/>
          <w:bCs/>
        </w:rPr>
      </w:pPr>
      <w:r w:rsidRPr="005F05EC">
        <w:rPr>
          <w:b/>
          <w:bCs/>
        </w:rPr>
        <w:t xml:space="preserve">About </w:t>
      </w:r>
      <w:r w:rsidR="00B3460D">
        <w:rPr>
          <w:b/>
          <w:bCs/>
        </w:rPr>
        <w:t>the Northern Care Alliance</w:t>
      </w:r>
    </w:p>
    <w:p w14:paraId="4D61C0E3" w14:textId="01C78050" w:rsidR="008621AC" w:rsidRDefault="00540941" w:rsidP="001C43F0">
      <w:r w:rsidRPr="00540941">
        <w:t xml:space="preserve">The NCA is one of the largest NHS trusts in </w:t>
      </w:r>
      <w:r>
        <w:t>England</w:t>
      </w:r>
      <w:r w:rsidRPr="00540941">
        <w:t>, employing over 20,000 staff. It delivers acute and community healthcare to more than one million people across Bury, Oldham, Rochdale and Salford, and provides a range of specialist services to the wider Greater Manchester population.</w:t>
      </w:r>
    </w:p>
    <w:p w14:paraId="4EC9D3DF" w14:textId="77777777" w:rsidR="00540941" w:rsidRDefault="00540941" w:rsidP="001C43F0"/>
    <w:p w14:paraId="166F3B34" w14:textId="7D375616" w:rsidR="00A67516" w:rsidRPr="005F05EC" w:rsidRDefault="00A67516" w:rsidP="005F05EC">
      <w:pPr>
        <w:pStyle w:val="ListParagraph"/>
        <w:numPr>
          <w:ilvl w:val="0"/>
          <w:numId w:val="7"/>
        </w:numPr>
        <w:rPr>
          <w:b/>
          <w:bCs/>
        </w:rPr>
      </w:pPr>
      <w:r w:rsidRPr="005F05EC">
        <w:rPr>
          <w:b/>
          <w:bCs/>
        </w:rPr>
        <w:t>Placement location</w:t>
      </w:r>
    </w:p>
    <w:p w14:paraId="18C7CB83" w14:textId="268F4E99" w:rsidR="00F358C5" w:rsidRDefault="00796973" w:rsidP="00F358C5">
      <w:r w:rsidRPr="00796973">
        <w:t>The Trust headquarters is based at the Salford Royal site (M6 8HD). Given the multi-site nature of the organisation, hybrid and remote working are common and supported. Office space can be booked at Salford</w:t>
      </w:r>
      <w:r w:rsidR="009E68A7">
        <w:t>, Rochdale,</w:t>
      </w:r>
      <w:r w:rsidRPr="00796973">
        <w:t xml:space="preserve"> Oldham </w:t>
      </w:r>
      <w:r w:rsidR="009E68A7">
        <w:t xml:space="preserve">or Bury </w:t>
      </w:r>
      <w:r w:rsidRPr="00796973">
        <w:t>as required, and registrars will be expected to attend some meetings and service visits in person.</w:t>
      </w:r>
    </w:p>
    <w:p w14:paraId="7124DC52" w14:textId="77777777" w:rsidR="00796973" w:rsidRDefault="00796973" w:rsidP="00F358C5"/>
    <w:p w14:paraId="7153BE8C" w14:textId="77777777" w:rsidR="00A67516" w:rsidRDefault="00A67516" w:rsidP="005F05EC">
      <w:pPr>
        <w:pStyle w:val="ListParagraph"/>
        <w:numPr>
          <w:ilvl w:val="0"/>
          <w:numId w:val="7"/>
        </w:numPr>
        <w:rPr>
          <w:b/>
          <w:bCs/>
        </w:rPr>
      </w:pPr>
      <w:r w:rsidRPr="005F05EC">
        <w:rPr>
          <w:b/>
          <w:bCs/>
        </w:rPr>
        <w:t>Placements available</w:t>
      </w:r>
    </w:p>
    <w:p w14:paraId="77652767" w14:textId="77777777" w:rsidR="00335F5E" w:rsidRDefault="00335F5E" w:rsidP="00335F5E">
      <w:pPr>
        <w:pStyle w:val="ListParagraph"/>
        <w:numPr>
          <w:ilvl w:val="0"/>
          <w:numId w:val="11"/>
        </w:numPr>
      </w:pPr>
      <w:r w:rsidRPr="00335F5E">
        <w:t>Short-term project attachments</w:t>
      </w:r>
    </w:p>
    <w:p w14:paraId="2C5C5C57" w14:textId="28B308CB" w:rsidR="005F05EC" w:rsidRDefault="00335F5E" w:rsidP="00335F5E">
      <w:pPr>
        <w:pStyle w:val="ListParagraph"/>
        <w:numPr>
          <w:ilvl w:val="0"/>
          <w:numId w:val="11"/>
        </w:numPr>
      </w:pPr>
      <w:r w:rsidRPr="00335F5E">
        <w:t>Long-term placements (up to 12 months, or pro-rata for LTFT trainees)</w:t>
      </w:r>
    </w:p>
    <w:p w14:paraId="46FA7F4F" w14:textId="77777777" w:rsidR="00335F5E" w:rsidRDefault="00335F5E" w:rsidP="005F05EC"/>
    <w:p w14:paraId="45076D3A" w14:textId="6CC68F15" w:rsidR="005F05EC" w:rsidRDefault="008723EE" w:rsidP="005F05EC">
      <w:r w:rsidRPr="008723EE">
        <w:t>Short-term projects can be undertaken at any stage of training. Long-term placements are best suited to registrars who have completed diplomate and final membership examinations.</w:t>
      </w:r>
    </w:p>
    <w:p w14:paraId="2FA6AF77" w14:textId="77777777" w:rsidR="008723EE" w:rsidRDefault="008723EE" w:rsidP="005F05EC"/>
    <w:p w14:paraId="40FE73B4" w14:textId="77777777" w:rsidR="00AB44E9" w:rsidRDefault="00A67516" w:rsidP="00AB44E9">
      <w:pPr>
        <w:pStyle w:val="ListParagraph"/>
        <w:numPr>
          <w:ilvl w:val="0"/>
          <w:numId w:val="7"/>
        </w:numPr>
        <w:rPr>
          <w:b/>
          <w:bCs/>
        </w:rPr>
      </w:pPr>
      <w:r w:rsidRPr="005F05EC">
        <w:rPr>
          <w:b/>
          <w:bCs/>
        </w:rPr>
        <w:t>Competencies</w:t>
      </w:r>
    </w:p>
    <w:p w14:paraId="7497A806" w14:textId="77777777" w:rsidR="00AB44E9" w:rsidRDefault="00AB44E9" w:rsidP="00AB44E9">
      <w:r>
        <w:t xml:space="preserve">The NCA offers opportunities across the breadth of the public health curriculum, with </w:t>
      </w:r>
      <w:proofErr w:type="gramStart"/>
      <w:r>
        <w:t>particular strengths</w:t>
      </w:r>
      <w:proofErr w:type="gramEnd"/>
      <w:r>
        <w:t xml:space="preserve"> in:</w:t>
      </w:r>
    </w:p>
    <w:p w14:paraId="483672A5" w14:textId="77777777" w:rsidR="00D54370" w:rsidRPr="00D54370" w:rsidRDefault="00AB44E9" w:rsidP="00AB44E9">
      <w:pPr>
        <w:pStyle w:val="ListParagraph"/>
        <w:numPr>
          <w:ilvl w:val="0"/>
          <w:numId w:val="13"/>
        </w:numPr>
        <w:rPr>
          <w:b/>
          <w:bCs/>
        </w:rPr>
      </w:pPr>
      <w:r>
        <w:t>Key area 1 – surveillance and assessment</w:t>
      </w:r>
    </w:p>
    <w:p w14:paraId="57CBAEF1" w14:textId="77777777" w:rsidR="00D54370" w:rsidRPr="00D54370" w:rsidRDefault="00AB44E9" w:rsidP="00AB44E9">
      <w:pPr>
        <w:pStyle w:val="ListParagraph"/>
        <w:numPr>
          <w:ilvl w:val="0"/>
          <w:numId w:val="13"/>
        </w:numPr>
        <w:rPr>
          <w:b/>
          <w:bCs/>
        </w:rPr>
      </w:pPr>
      <w:r>
        <w:t>Key area 2 – evaluating evidence and effectiveness</w:t>
      </w:r>
    </w:p>
    <w:p w14:paraId="76BA8127" w14:textId="77777777" w:rsidR="00D54370" w:rsidRPr="00D54370" w:rsidRDefault="00AB44E9" w:rsidP="00AB44E9">
      <w:pPr>
        <w:pStyle w:val="ListParagraph"/>
        <w:numPr>
          <w:ilvl w:val="0"/>
          <w:numId w:val="13"/>
        </w:numPr>
        <w:rPr>
          <w:b/>
          <w:bCs/>
        </w:rPr>
      </w:pPr>
      <w:r>
        <w:t>Key area 3 – policy and strategy development</w:t>
      </w:r>
    </w:p>
    <w:p w14:paraId="374754D8" w14:textId="77777777" w:rsidR="00D54370" w:rsidRPr="00D54370" w:rsidRDefault="00AB44E9" w:rsidP="00AB44E9">
      <w:pPr>
        <w:pStyle w:val="ListParagraph"/>
        <w:numPr>
          <w:ilvl w:val="0"/>
          <w:numId w:val="13"/>
        </w:numPr>
        <w:rPr>
          <w:b/>
          <w:bCs/>
        </w:rPr>
      </w:pPr>
      <w:r>
        <w:t>Key area 4 – strategic leadership and partnership working</w:t>
      </w:r>
    </w:p>
    <w:p w14:paraId="2DAC82B0" w14:textId="77777777" w:rsidR="00D54370" w:rsidRPr="00D54370" w:rsidRDefault="00AB44E9" w:rsidP="00AB44E9">
      <w:pPr>
        <w:pStyle w:val="ListParagraph"/>
        <w:numPr>
          <w:ilvl w:val="0"/>
          <w:numId w:val="13"/>
        </w:numPr>
        <w:rPr>
          <w:b/>
          <w:bCs/>
        </w:rPr>
      </w:pPr>
      <w:r>
        <w:t>Key area 7 – health and care public health (provider-based practice)</w:t>
      </w:r>
    </w:p>
    <w:p w14:paraId="3FE7561F" w14:textId="77777777" w:rsidR="00D54370" w:rsidRPr="00D54370" w:rsidRDefault="00AB44E9" w:rsidP="00AB44E9">
      <w:pPr>
        <w:pStyle w:val="ListParagraph"/>
        <w:numPr>
          <w:ilvl w:val="0"/>
          <w:numId w:val="13"/>
        </w:numPr>
        <w:rPr>
          <w:b/>
          <w:bCs/>
        </w:rPr>
      </w:pPr>
      <w:r>
        <w:t>Key area 8 – academic public health</w:t>
      </w:r>
    </w:p>
    <w:p w14:paraId="3A786F13" w14:textId="77777777" w:rsidR="00D54370" w:rsidRPr="00D54370" w:rsidRDefault="00AB44E9" w:rsidP="00AB44E9">
      <w:pPr>
        <w:pStyle w:val="ListParagraph"/>
        <w:numPr>
          <w:ilvl w:val="0"/>
          <w:numId w:val="13"/>
        </w:numPr>
        <w:rPr>
          <w:b/>
          <w:bCs/>
        </w:rPr>
      </w:pPr>
      <w:r>
        <w:t>Key area 10 – integration and application of competencies for consultant practice</w:t>
      </w:r>
    </w:p>
    <w:p w14:paraId="4C4CF8B2" w14:textId="77777777" w:rsidR="00D54370" w:rsidRDefault="00D54370" w:rsidP="00D54370"/>
    <w:p w14:paraId="27F24A2A" w14:textId="28F4A439" w:rsidR="00AB44E9" w:rsidRPr="00D54370" w:rsidRDefault="00AB44E9" w:rsidP="00D54370">
      <w:pPr>
        <w:rPr>
          <w:b/>
          <w:bCs/>
        </w:rPr>
      </w:pPr>
      <w:r>
        <w:t>Given the Trust’s size and the breadth of work, most competencies can be met or partially met during a placement.</w:t>
      </w:r>
    </w:p>
    <w:p w14:paraId="07B97896" w14:textId="2CE39F05" w:rsidR="00A67516" w:rsidRDefault="00A67516" w:rsidP="00F358C5"/>
    <w:p w14:paraId="3358577D" w14:textId="194B8F77" w:rsidR="00BF5CF7" w:rsidRDefault="00BF5CF7" w:rsidP="005F05EC">
      <w:pPr>
        <w:pStyle w:val="ListParagraph"/>
        <w:numPr>
          <w:ilvl w:val="0"/>
          <w:numId w:val="7"/>
        </w:numPr>
        <w:rPr>
          <w:b/>
          <w:bCs/>
        </w:rPr>
      </w:pPr>
      <w:r w:rsidRPr="005F05EC">
        <w:rPr>
          <w:b/>
          <w:bCs/>
        </w:rPr>
        <w:t>Training opportunities</w:t>
      </w:r>
    </w:p>
    <w:p w14:paraId="6EEF9DC6" w14:textId="62B4E8F0" w:rsidR="00750010" w:rsidRDefault="00D02525" w:rsidP="00750010">
      <w:r w:rsidRPr="00D02525">
        <w:t xml:space="preserve">A programme of work will be tailored to the </w:t>
      </w:r>
      <w:proofErr w:type="spellStart"/>
      <w:r w:rsidRPr="00D02525">
        <w:t>StR’s</w:t>
      </w:r>
      <w:proofErr w:type="spellEnd"/>
      <w:r w:rsidRPr="00D02525">
        <w:t xml:space="preserve"> learning needs and may include:</w:t>
      </w:r>
    </w:p>
    <w:p w14:paraId="40485992" w14:textId="77777777" w:rsidR="00A16915" w:rsidRDefault="00A16915" w:rsidP="00A16915">
      <w:pPr>
        <w:pStyle w:val="ListParagraph"/>
        <w:numPr>
          <w:ilvl w:val="0"/>
          <w:numId w:val="14"/>
        </w:numPr>
      </w:pPr>
      <w:r w:rsidRPr="00A16915">
        <w:t>Working with clinical services to identify and address healthcare inequalities</w:t>
      </w:r>
    </w:p>
    <w:p w14:paraId="0E3E3E10" w14:textId="77777777" w:rsidR="00A16915" w:rsidRDefault="00A16915" w:rsidP="00A16915">
      <w:pPr>
        <w:pStyle w:val="ListParagraph"/>
        <w:numPr>
          <w:ilvl w:val="0"/>
          <w:numId w:val="14"/>
        </w:numPr>
      </w:pPr>
      <w:r w:rsidRPr="00A16915">
        <w:t>Supporting development and implementation of Trust-wide strategies, including clinical strategy and prevention/left-shift work</w:t>
      </w:r>
    </w:p>
    <w:p w14:paraId="53322799" w14:textId="77777777" w:rsidR="00A16915" w:rsidRDefault="00A16915" w:rsidP="00A16915">
      <w:pPr>
        <w:pStyle w:val="ListParagraph"/>
        <w:numPr>
          <w:ilvl w:val="0"/>
          <w:numId w:val="14"/>
        </w:numPr>
      </w:pPr>
      <w:r w:rsidRPr="00A16915">
        <w:lastRenderedPageBreak/>
        <w:t>Contributing to workforce development initiatives, including embedding public health approaches across clinical teams</w:t>
      </w:r>
    </w:p>
    <w:p w14:paraId="26C20DD8" w14:textId="77777777" w:rsidR="00A16915" w:rsidRDefault="00A16915" w:rsidP="00A16915">
      <w:pPr>
        <w:pStyle w:val="ListParagraph"/>
        <w:numPr>
          <w:ilvl w:val="0"/>
          <w:numId w:val="14"/>
        </w:numPr>
      </w:pPr>
      <w:r w:rsidRPr="00A16915">
        <w:t>Undertaking pathway-specific projects focused on prevention, access, experience and outcomes</w:t>
      </w:r>
    </w:p>
    <w:p w14:paraId="7E2A3486" w14:textId="77777777" w:rsidR="00A16915" w:rsidRDefault="00A16915" w:rsidP="00A16915">
      <w:pPr>
        <w:pStyle w:val="ListParagraph"/>
        <w:numPr>
          <w:ilvl w:val="0"/>
          <w:numId w:val="14"/>
        </w:numPr>
      </w:pPr>
      <w:r w:rsidRPr="00A16915">
        <w:t>Exploring the wider determinants of health and strengthening links between the Trust and partner agencies (e.g. housing, advice services, early help)</w:t>
      </w:r>
    </w:p>
    <w:p w14:paraId="4C72A435" w14:textId="77777777" w:rsidR="00A16915" w:rsidRDefault="00A16915" w:rsidP="00A16915">
      <w:pPr>
        <w:pStyle w:val="ListParagraph"/>
        <w:numPr>
          <w:ilvl w:val="0"/>
          <w:numId w:val="14"/>
        </w:numPr>
      </w:pPr>
      <w:r w:rsidRPr="00A16915">
        <w:t>Analysing and presenting local data to support improvement and assurance</w:t>
      </w:r>
    </w:p>
    <w:p w14:paraId="48F85002" w14:textId="77777777" w:rsidR="00A16915" w:rsidRDefault="00A16915" w:rsidP="00A16915">
      <w:pPr>
        <w:pStyle w:val="ListParagraph"/>
        <w:numPr>
          <w:ilvl w:val="0"/>
          <w:numId w:val="14"/>
        </w:numPr>
      </w:pPr>
      <w:r w:rsidRPr="00A16915">
        <w:t>Contributing to Trust-level committees or groups as the public health representative, where appropriate</w:t>
      </w:r>
    </w:p>
    <w:p w14:paraId="0B6E10E3" w14:textId="33E08FC5" w:rsidR="00A16915" w:rsidRPr="00A16915" w:rsidRDefault="00A16915" w:rsidP="00A16915">
      <w:pPr>
        <w:pStyle w:val="ListParagraph"/>
        <w:numPr>
          <w:ilvl w:val="0"/>
          <w:numId w:val="14"/>
        </w:numPr>
      </w:pPr>
      <w:r w:rsidRPr="00A16915">
        <w:t>Shadowing in clinical areas to gain understanding of service delivery</w:t>
      </w:r>
    </w:p>
    <w:p w14:paraId="306ECC08" w14:textId="77777777" w:rsidR="00A16915" w:rsidRDefault="00A16915" w:rsidP="00A16915"/>
    <w:p w14:paraId="188A7B81" w14:textId="79223597" w:rsidR="00A16915" w:rsidRPr="00A16915" w:rsidRDefault="00A16915" w:rsidP="00A16915">
      <w:r w:rsidRPr="00A16915">
        <w:t>Registrars will gain experience of working within a large provider organisation and will develop skills in influencing, system leadership and collaborative working.</w:t>
      </w:r>
    </w:p>
    <w:p w14:paraId="72F7B5C8" w14:textId="46ECA17A" w:rsidR="00BF5CF7" w:rsidRDefault="00BF5CF7" w:rsidP="00BF5CF7"/>
    <w:p w14:paraId="08B12D1B" w14:textId="574E3F15" w:rsidR="00042EAB" w:rsidRDefault="00F30F43" w:rsidP="00F30F43">
      <w:pPr>
        <w:pStyle w:val="ListParagraph"/>
        <w:numPr>
          <w:ilvl w:val="0"/>
          <w:numId w:val="7"/>
        </w:numPr>
        <w:rPr>
          <w:b/>
          <w:bCs/>
        </w:rPr>
      </w:pPr>
      <w:r w:rsidRPr="005F05EC">
        <w:rPr>
          <w:b/>
          <w:bCs/>
        </w:rPr>
        <w:t>Supervision</w:t>
      </w:r>
      <w:r w:rsidR="00C06F9A">
        <w:rPr>
          <w:b/>
          <w:bCs/>
        </w:rPr>
        <w:t>,</w:t>
      </w:r>
      <w:r w:rsidRPr="005F05EC">
        <w:rPr>
          <w:b/>
          <w:bCs/>
        </w:rPr>
        <w:t xml:space="preserve"> Induction</w:t>
      </w:r>
      <w:r w:rsidR="00C06F9A">
        <w:rPr>
          <w:b/>
          <w:bCs/>
        </w:rPr>
        <w:t xml:space="preserve"> &amp; Networks</w:t>
      </w:r>
    </w:p>
    <w:p w14:paraId="13675AD1" w14:textId="01D35E51" w:rsidR="00F30F43" w:rsidRDefault="00AC6706" w:rsidP="00F30F43">
      <w:r w:rsidRPr="00AC6706">
        <w:t>The NCA employs a consultant in public health who acts as educational supervisor for long-term placements. Supervision for short-term projects will be coordinated with the registrar’s substantive placement.</w:t>
      </w:r>
    </w:p>
    <w:p w14:paraId="2AC27A1C" w14:textId="77777777" w:rsidR="00AC6706" w:rsidRDefault="00AC6706" w:rsidP="00F30F43"/>
    <w:p w14:paraId="350A9E16" w14:textId="38AC37EA" w:rsidR="00F30F43" w:rsidRDefault="00C32AE8" w:rsidP="00F30F43">
      <w:r w:rsidRPr="00C32AE8">
        <w:t>Progress will be monitored through regular supervision meetings (minimum one hour per month). A</w:t>
      </w:r>
      <w:r>
        <w:t xml:space="preserve">n </w:t>
      </w:r>
      <w:r w:rsidRPr="00C32AE8">
        <w:t>induction is provided, enabling registrars to meet key colleagues, understand organisational priorities and agree a learning agreement covering projects, timelines and review points.</w:t>
      </w:r>
    </w:p>
    <w:p w14:paraId="4B6D723A" w14:textId="77777777" w:rsidR="00C32AE8" w:rsidRDefault="00C32AE8" w:rsidP="00F30F43"/>
    <w:p w14:paraId="53A019A2" w14:textId="026C9083" w:rsidR="00F358C5" w:rsidRDefault="00F30F43" w:rsidP="00F30F43">
      <w:r>
        <w:t xml:space="preserve">When </w:t>
      </w:r>
      <w:proofErr w:type="spellStart"/>
      <w:r>
        <w:t>StRs</w:t>
      </w:r>
      <w:proofErr w:type="spellEnd"/>
      <w:r>
        <w:t xml:space="preserve"> start their placement, they will undergo an induction programme so that they can meet key people and find out what is happening across the organisation. During this time, along with their educational supervisor, they will identify opportunities to meet some of their public health training needs. This will be addressed using a learning agreement to outline projects, timeframes, outcomes and the date of the next review.</w:t>
      </w:r>
    </w:p>
    <w:p w14:paraId="2130ED7A" w14:textId="77777777" w:rsidR="00C06F9A" w:rsidRDefault="00C06F9A" w:rsidP="00F30F43"/>
    <w:p w14:paraId="4779F14D" w14:textId="77777777" w:rsidR="00852A92" w:rsidRPr="00852A92" w:rsidRDefault="00852A92" w:rsidP="00852A92">
      <w:r w:rsidRPr="00852A92">
        <w:t>Although the core Trust public health team is small, registrars benefit from established networks, including:</w:t>
      </w:r>
    </w:p>
    <w:p w14:paraId="6B2AF9D2" w14:textId="77777777" w:rsidR="00852A92" w:rsidRDefault="00852A92" w:rsidP="00852A92">
      <w:pPr>
        <w:pStyle w:val="ListParagraph"/>
        <w:numPr>
          <w:ilvl w:val="0"/>
          <w:numId w:val="15"/>
        </w:numPr>
      </w:pPr>
      <w:r w:rsidRPr="00852A92">
        <w:t>Public Health in Providers Network</w:t>
      </w:r>
    </w:p>
    <w:p w14:paraId="3851F9E5" w14:textId="77777777" w:rsidR="00852A92" w:rsidRDefault="00852A92" w:rsidP="00852A92">
      <w:pPr>
        <w:pStyle w:val="ListParagraph"/>
        <w:numPr>
          <w:ilvl w:val="0"/>
          <w:numId w:val="15"/>
        </w:numPr>
      </w:pPr>
      <w:r w:rsidRPr="00852A92">
        <w:t>National network for registrars in provider placements</w:t>
      </w:r>
    </w:p>
    <w:p w14:paraId="6E335565" w14:textId="1F048D55" w:rsidR="00852A92" w:rsidRDefault="00852A92" w:rsidP="00852A92">
      <w:pPr>
        <w:pStyle w:val="ListParagraph"/>
        <w:numPr>
          <w:ilvl w:val="0"/>
          <w:numId w:val="15"/>
        </w:numPr>
      </w:pPr>
      <w:r>
        <w:t>NHS</w:t>
      </w:r>
      <w:r w:rsidR="003A6D8C">
        <w:t xml:space="preserve">E </w:t>
      </w:r>
      <w:proofErr w:type="gramStart"/>
      <w:r w:rsidRPr="00852A92">
        <w:t>North West</w:t>
      </w:r>
      <w:proofErr w:type="gramEnd"/>
      <w:r w:rsidRPr="00852A92">
        <w:t xml:space="preserve"> Healthcare Public Health Network</w:t>
      </w:r>
    </w:p>
    <w:p w14:paraId="2C2AFDC7" w14:textId="14D33C71" w:rsidR="00852A92" w:rsidRPr="00852A92" w:rsidRDefault="00852A92" w:rsidP="00852A92">
      <w:pPr>
        <w:pStyle w:val="ListParagraph"/>
        <w:numPr>
          <w:ilvl w:val="0"/>
          <w:numId w:val="15"/>
        </w:numPr>
      </w:pPr>
      <w:r w:rsidRPr="00852A92">
        <w:t>NHSE</w:t>
      </w:r>
      <w:r w:rsidR="003A6D8C">
        <w:t xml:space="preserve"> </w:t>
      </w:r>
      <w:r w:rsidRPr="00852A92">
        <w:t>Public Health in the NHS professional network</w:t>
      </w:r>
    </w:p>
    <w:p w14:paraId="020F0A10" w14:textId="1601C7A7" w:rsidR="00F30F43" w:rsidRDefault="00F30F43" w:rsidP="00F358C5"/>
    <w:p w14:paraId="5D552237" w14:textId="24948D11" w:rsidR="00F30F43" w:rsidRDefault="00BF5CF7" w:rsidP="005F05EC">
      <w:pPr>
        <w:pStyle w:val="ListParagraph"/>
        <w:numPr>
          <w:ilvl w:val="0"/>
          <w:numId w:val="7"/>
        </w:numPr>
        <w:rPr>
          <w:b/>
          <w:bCs/>
        </w:rPr>
      </w:pPr>
      <w:r w:rsidRPr="005F05EC">
        <w:rPr>
          <w:b/>
          <w:bCs/>
        </w:rPr>
        <w:t>Administration</w:t>
      </w:r>
    </w:p>
    <w:p w14:paraId="26BF3FFB" w14:textId="380F9737" w:rsidR="005F05EC" w:rsidRDefault="00FE4FB9" w:rsidP="00BF5CF7">
      <w:r w:rsidRPr="00FE4FB9">
        <w:t xml:space="preserve">Registrars will be supplied with an NCA laptop for the duration of the placement. Desk space can be booked at Trust sites on an ad-hoc basis. All registrars can access university libraries using their NHS ID. Standard HR arrangements for </w:t>
      </w:r>
      <w:proofErr w:type="spellStart"/>
      <w:r w:rsidRPr="00FE4FB9">
        <w:t>StRs</w:t>
      </w:r>
      <w:proofErr w:type="spellEnd"/>
      <w:r w:rsidRPr="00FE4FB9">
        <w:t xml:space="preserve"> apply. No additional funding is available for this placement.</w:t>
      </w:r>
    </w:p>
    <w:p w14:paraId="54616FBE" w14:textId="77777777" w:rsidR="00FE4FB9" w:rsidRDefault="00FE4FB9" w:rsidP="00BF5CF7"/>
    <w:p w14:paraId="16C7203A" w14:textId="6AC155D8" w:rsidR="005F05EC" w:rsidRDefault="005F05EC" w:rsidP="005F05EC">
      <w:pPr>
        <w:pStyle w:val="ListParagraph"/>
        <w:numPr>
          <w:ilvl w:val="0"/>
          <w:numId w:val="7"/>
        </w:numPr>
        <w:rPr>
          <w:b/>
          <w:bCs/>
        </w:rPr>
      </w:pPr>
      <w:r w:rsidRPr="005F05EC">
        <w:rPr>
          <w:b/>
          <w:bCs/>
        </w:rPr>
        <w:t>Further information</w:t>
      </w:r>
    </w:p>
    <w:p w14:paraId="7CA0CBD4" w14:textId="788A76EE" w:rsidR="0069146D" w:rsidRDefault="005F05EC" w:rsidP="00F358C5">
      <w:pPr>
        <w:rPr>
          <w:rStyle w:val="Hyperlink"/>
          <w:color w:val="auto"/>
          <w:u w:val="none"/>
        </w:rPr>
      </w:pPr>
      <w:r>
        <w:t xml:space="preserve">Please contact </w:t>
      </w:r>
      <w:r w:rsidR="00287F00">
        <w:t>Christine Camacho</w:t>
      </w:r>
      <w:r>
        <w:t xml:space="preserve">, </w:t>
      </w:r>
      <w:r w:rsidR="00287F00">
        <w:t xml:space="preserve">Consultant in Public Health </w:t>
      </w:r>
      <w:r>
        <w:t xml:space="preserve">for more information about this placement opportunity </w:t>
      </w:r>
      <w:r w:rsidR="00287F00">
        <w:t>–</w:t>
      </w:r>
      <w:r>
        <w:t xml:space="preserve"> </w:t>
      </w:r>
      <w:hyperlink r:id="rId12" w:history="1">
        <w:r w:rsidR="00287F00" w:rsidRPr="00DF1062">
          <w:rPr>
            <w:rStyle w:val="Hyperlink"/>
          </w:rPr>
          <w:t>Christine.camacho@nca.nhs.uk</w:t>
        </w:r>
      </w:hyperlink>
      <w:r w:rsidR="00287F00">
        <w:t xml:space="preserve"> </w:t>
      </w:r>
    </w:p>
    <w:p w14:paraId="2C520B8C" w14:textId="1D69BDBD" w:rsidR="00F358C5" w:rsidRDefault="0069146D" w:rsidP="00F358C5">
      <w:r>
        <w:rPr>
          <w:rStyle w:val="Hyperlink"/>
        </w:rPr>
        <w:t xml:space="preserve"> </w:t>
      </w:r>
    </w:p>
    <w:sectPr w:rsidR="00F358C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E036" w14:textId="77777777" w:rsidR="00B51BA9" w:rsidRDefault="00B51BA9" w:rsidP="00A67516">
      <w:r>
        <w:separator/>
      </w:r>
    </w:p>
  </w:endnote>
  <w:endnote w:type="continuationSeparator" w:id="0">
    <w:p w14:paraId="6986DCE6" w14:textId="77777777" w:rsidR="00B51BA9" w:rsidRDefault="00B51BA9" w:rsidP="00A6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946240"/>
      <w:docPartObj>
        <w:docPartGallery w:val="Page Numbers (Bottom of Page)"/>
        <w:docPartUnique/>
      </w:docPartObj>
    </w:sdtPr>
    <w:sdtEndPr/>
    <w:sdtContent>
      <w:sdt>
        <w:sdtPr>
          <w:id w:val="1728636285"/>
          <w:docPartObj>
            <w:docPartGallery w:val="Page Numbers (Top of Page)"/>
            <w:docPartUnique/>
          </w:docPartObj>
        </w:sdtPr>
        <w:sdtEndPr/>
        <w:sdtContent>
          <w:p w14:paraId="48AD7E41" w14:textId="72E454DD" w:rsidR="00042EAB" w:rsidRDefault="00042EA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9E86F9" w14:textId="77777777" w:rsidR="00042EAB" w:rsidRDefault="0004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944" w14:textId="77777777" w:rsidR="00B51BA9" w:rsidRDefault="00B51BA9" w:rsidP="00A67516">
      <w:r>
        <w:separator/>
      </w:r>
    </w:p>
  </w:footnote>
  <w:footnote w:type="continuationSeparator" w:id="0">
    <w:p w14:paraId="6A2E7CA4" w14:textId="77777777" w:rsidR="00B51BA9" w:rsidRDefault="00B51BA9" w:rsidP="00A6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6F8F"/>
    <w:multiLevelType w:val="hybridMultilevel"/>
    <w:tmpl w:val="3058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037D0"/>
    <w:multiLevelType w:val="hybridMultilevel"/>
    <w:tmpl w:val="AF3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51821"/>
    <w:multiLevelType w:val="hybridMultilevel"/>
    <w:tmpl w:val="C382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85C9B"/>
    <w:multiLevelType w:val="hybridMultilevel"/>
    <w:tmpl w:val="063A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D7FBA"/>
    <w:multiLevelType w:val="hybridMultilevel"/>
    <w:tmpl w:val="D0CC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66B40"/>
    <w:multiLevelType w:val="hybridMultilevel"/>
    <w:tmpl w:val="A194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8478B"/>
    <w:multiLevelType w:val="multilevel"/>
    <w:tmpl w:val="B2FE55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9F7EFB"/>
    <w:multiLevelType w:val="hybridMultilevel"/>
    <w:tmpl w:val="94CA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261E7"/>
    <w:multiLevelType w:val="hybridMultilevel"/>
    <w:tmpl w:val="6D889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273021"/>
    <w:multiLevelType w:val="multilevel"/>
    <w:tmpl w:val="5EA422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571"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AFB7281"/>
    <w:multiLevelType w:val="hybridMultilevel"/>
    <w:tmpl w:val="1BA28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311C0A"/>
    <w:multiLevelType w:val="hybridMultilevel"/>
    <w:tmpl w:val="A1F2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3D53CC"/>
    <w:multiLevelType w:val="hybridMultilevel"/>
    <w:tmpl w:val="126C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212050"/>
    <w:multiLevelType w:val="multilevel"/>
    <w:tmpl w:val="47F4CDC0"/>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AE57500"/>
    <w:multiLevelType w:val="hybridMultilevel"/>
    <w:tmpl w:val="B020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271534">
    <w:abstractNumId w:val="4"/>
  </w:num>
  <w:num w:numId="2" w16cid:durableId="445543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336636">
    <w:abstractNumId w:val="2"/>
  </w:num>
  <w:num w:numId="4" w16cid:durableId="828904330">
    <w:abstractNumId w:val="7"/>
  </w:num>
  <w:num w:numId="5" w16cid:durableId="1979651890">
    <w:abstractNumId w:val="0"/>
  </w:num>
  <w:num w:numId="6" w16cid:durableId="521238507">
    <w:abstractNumId w:val="1"/>
  </w:num>
  <w:num w:numId="7" w16cid:durableId="1579486061">
    <w:abstractNumId w:val="13"/>
  </w:num>
  <w:num w:numId="8" w16cid:durableId="764881307">
    <w:abstractNumId w:val="10"/>
  </w:num>
  <w:num w:numId="9" w16cid:durableId="587033152">
    <w:abstractNumId w:val="8"/>
  </w:num>
  <w:num w:numId="10" w16cid:durableId="100803066">
    <w:abstractNumId w:val="12"/>
  </w:num>
  <w:num w:numId="11" w16cid:durableId="207298754">
    <w:abstractNumId w:val="14"/>
  </w:num>
  <w:num w:numId="12" w16cid:durableId="1144741391">
    <w:abstractNumId w:val="6"/>
  </w:num>
  <w:num w:numId="13" w16cid:durableId="1546017382">
    <w:abstractNumId w:val="5"/>
  </w:num>
  <w:num w:numId="14" w16cid:durableId="1382441160">
    <w:abstractNumId w:val="3"/>
  </w:num>
  <w:num w:numId="15" w16cid:durableId="567689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F0"/>
    <w:rsid w:val="00003E19"/>
    <w:rsid w:val="00042EAB"/>
    <w:rsid w:val="000734DC"/>
    <w:rsid w:val="000773FE"/>
    <w:rsid w:val="000C7E51"/>
    <w:rsid w:val="000D1D00"/>
    <w:rsid w:val="001078EF"/>
    <w:rsid w:val="001173C8"/>
    <w:rsid w:val="001355F9"/>
    <w:rsid w:val="00137D39"/>
    <w:rsid w:val="001A2573"/>
    <w:rsid w:val="001B05D1"/>
    <w:rsid w:val="001C38F9"/>
    <w:rsid w:val="001C43F0"/>
    <w:rsid w:val="00237122"/>
    <w:rsid w:val="002704B4"/>
    <w:rsid w:val="0027592F"/>
    <w:rsid w:val="00284905"/>
    <w:rsid w:val="00287F00"/>
    <w:rsid w:val="002C4A02"/>
    <w:rsid w:val="002D0F4F"/>
    <w:rsid w:val="00335C5C"/>
    <w:rsid w:val="00335F5E"/>
    <w:rsid w:val="0038649A"/>
    <w:rsid w:val="003A6D8C"/>
    <w:rsid w:val="003C414C"/>
    <w:rsid w:val="003D2237"/>
    <w:rsid w:val="003F03E6"/>
    <w:rsid w:val="00415430"/>
    <w:rsid w:val="004609E0"/>
    <w:rsid w:val="004A06F3"/>
    <w:rsid w:val="004A2837"/>
    <w:rsid w:val="004A6B9E"/>
    <w:rsid w:val="00540941"/>
    <w:rsid w:val="00557C44"/>
    <w:rsid w:val="005B0C21"/>
    <w:rsid w:val="005B4BE5"/>
    <w:rsid w:val="005C143B"/>
    <w:rsid w:val="005F05EC"/>
    <w:rsid w:val="00606F14"/>
    <w:rsid w:val="006201BE"/>
    <w:rsid w:val="00634460"/>
    <w:rsid w:val="0069146D"/>
    <w:rsid w:val="006D3CC3"/>
    <w:rsid w:val="006F236F"/>
    <w:rsid w:val="0071774E"/>
    <w:rsid w:val="0072378A"/>
    <w:rsid w:val="00750010"/>
    <w:rsid w:val="00751F69"/>
    <w:rsid w:val="00775BAE"/>
    <w:rsid w:val="00796973"/>
    <w:rsid w:val="007D1969"/>
    <w:rsid w:val="008308C0"/>
    <w:rsid w:val="00852A92"/>
    <w:rsid w:val="00852D4C"/>
    <w:rsid w:val="008621AC"/>
    <w:rsid w:val="008723EE"/>
    <w:rsid w:val="00881A8B"/>
    <w:rsid w:val="008E1B51"/>
    <w:rsid w:val="009135F0"/>
    <w:rsid w:val="0095076F"/>
    <w:rsid w:val="00985400"/>
    <w:rsid w:val="009B7AF7"/>
    <w:rsid w:val="009E68A7"/>
    <w:rsid w:val="00A16915"/>
    <w:rsid w:val="00A62F2B"/>
    <w:rsid w:val="00A67516"/>
    <w:rsid w:val="00AB2825"/>
    <w:rsid w:val="00AB44E9"/>
    <w:rsid w:val="00AC6706"/>
    <w:rsid w:val="00AD0F55"/>
    <w:rsid w:val="00AF7D41"/>
    <w:rsid w:val="00B33BF4"/>
    <w:rsid w:val="00B3460D"/>
    <w:rsid w:val="00B40131"/>
    <w:rsid w:val="00B51BA9"/>
    <w:rsid w:val="00B77FE3"/>
    <w:rsid w:val="00B819AC"/>
    <w:rsid w:val="00BE2287"/>
    <w:rsid w:val="00BF5CF7"/>
    <w:rsid w:val="00C06F9A"/>
    <w:rsid w:val="00C150D6"/>
    <w:rsid w:val="00C32AE8"/>
    <w:rsid w:val="00C75267"/>
    <w:rsid w:val="00CD2BD9"/>
    <w:rsid w:val="00CF76D0"/>
    <w:rsid w:val="00D02525"/>
    <w:rsid w:val="00D049D8"/>
    <w:rsid w:val="00D54370"/>
    <w:rsid w:val="00D617A4"/>
    <w:rsid w:val="00D8264B"/>
    <w:rsid w:val="00D83710"/>
    <w:rsid w:val="00D91732"/>
    <w:rsid w:val="00DA5E61"/>
    <w:rsid w:val="00DD3046"/>
    <w:rsid w:val="00DF4E96"/>
    <w:rsid w:val="00E435AB"/>
    <w:rsid w:val="00E73694"/>
    <w:rsid w:val="00E9582D"/>
    <w:rsid w:val="00EA0714"/>
    <w:rsid w:val="00EB3A37"/>
    <w:rsid w:val="00EF0EB8"/>
    <w:rsid w:val="00F30F43"/>
    <w:rsid w:val="00F358C5"/>
    <w:rsid w:val="00F74C03"/>
    <w:rsid w:val="00FA5CD6"/>
    <w:rsid w:val="00FB6930"/>
    <w:rsid w:val="00FE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A458"/>
  <w15:docId w15:val="{597846B0-5E15-45C9-9E98-7D6F1053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69"/>
    <w:pPr>
      <w:spacing w:line="240" w:lineRule="auto"/>
      <w:jc w:val="both"/>
    </w:pPr>
    <w:rPr>
      <w:rFonts w:ascii="Arial" w:hAnsi="Arial" w:cs="Arial"/>
      <w:sz w:val="24"/>
      <w:szCs w:val="20"/>
    </w:rPr>
  </w:style>
  <w:style w:type="paragraph" w:styleId="Heading1">
    <w:name w:val="heading 1"/>
    <w:basedOn w:val="Normal"/>
    <w:link w:val="Heading1Char"/>
    <w:uiPriority w:val="1"/>
    <w:qFormat/>
    <w:rsid w:val="00A67516"/>
    <w:pPr>
      <w:widowControl w:val="0"/>
      <w:numPr>
        <w:numId w:val="2"/>
      </w:numPr>
      <w:spacing w:after="240"/>
      <w:jc w:val="left"/>
      <w:outlineLvl w:val="0"/>
    </w:pPr>
    <w:rPr>
      <w:rFonts w:eastAsia="Arial" w:cstheme="minorBidi"/>
      <w:b/>
      <w:bCs/>
      <w:color w:val="98002E"/>
      <w:sz w:val="36"/>
      <w:szCs w:val="36"/>
      <w:lang w:val="en-US"/>
    </w:rPr>
  </w:style>
  <w:style w:type="paragraph" w:styleId="Heading2">
    <w:name w:val="heading 2"/>
    <w:basedOn w:val="Normal"/>
    <w:link w:val="Heading2Char"/>
    <w:uiPriority w:val="1"/>
    <w:semiHidden/>
    <w:unhideWhenUsed/>
    <w:qFormat/>
    <w:rsid w:val="00A67516"/>
    <w:pPr>
      <w:widowControl w:val="0"/>
      <w:numPr>
        <w:ilvl w:val="1"/>
        <w:numId w:val="2"/>
      </w:numPr>
      <w:spacing w:after="240"/>
      <w:jc w:val="left"/>
      <w:outlineLvl w:val="1"/>
    </w:pPr>
    <w:rPr>
      <w:rFonts w:eastAsia="Arial" w:cstheme="minorBidi"/>
      <w:b/>
      <w:bCs/>
      <w:color w:val="98002E"/>
      <w:sz w:val="28"/>
      <w:szCs w:val="28"/>
      <w:lang w:val="en-US"/>
    </w:rPr>
  </w:style>
  <w:style w:type="paragraph" w:styleId="Heading3">
    <w:name w:val="heading 3"/>
    <w:basedOn w:val="Normal"/>
    <w:link w:val="Heading3Char"/>
    <w:uiPriority w:val="1"/>
    <w:semiHidden/>
    <w:unhideWhenUsed/>
    <w:qFormat/>
    <w:rsid w:val="00A67516"/>
    <w:pPr>
      <w:widowControl w:val="0"/>
      <w:numPr>
        <w:ilvl w:val="2"/>
        <w:numId w:val="2"/>
      </w:numPr>
      <w:spacing w:after="240"/>
      <w:ind w:left="720"/>
      <w:jc w:val="left"/>
      <w:outlineLvl w:val="2"/>
    </w:pPr>
    <w:rPr>
      <w:rFonts w:eastAsia="Arial" w:cstheme="minorBidi"/>
      <w:bCs/>
      <w:szCs w:val="24"/>
      <w:lang w:val="en-US"/>
    </w:rPr>
  </w:style>
  <w:style w:type="paragraph" w:styleId="Heading4">
    <w:name w:val="heading 4"/>
    <w:basedOn w:val="Normal"/>
    <w:next w:val="Normal"/>
    <w:link w:val="Heading4Char"/>
    <w:uiPriority w:val="9"/>
    <w:semiHidden/>
    <w:unhideWhenUsed/>
    <w:qFormat/>
    <w:rsid w:val="00A67516"/>
    <w:pPr>
      <w:keepNext/>
      <w:keepLines/>
      <w:widowControl w:val="0"/>
      <w:numPr>
        <w:ilvl w:val="3"/>
        <w:numId w:val="2"/>
      </w:numPr>
      <w:spacing w:before="200"/>
      <w:jc w:val="left"/>
      <w:outlineLvl w:val="3"/>
    </w:pPr>
    <w:rPr>
      <w:rFonts w:eastAsiaTheme="majorEastAsia" w:cstheme="majorBidi"/>
      <w:bCs/>
      <w:iCs/>
      <w:sz w:val="22"/>
      <w:szCs w:val="22"/>
      <w:lang w:val="en-US"/>
    </w:rPr>
  </w:style>
  <w:style w:type="paragraph" w:styleId="Heading5">
    <w:name w:val="heading 5"/>
    <w:basedOn w:val="Normal"/>
    <w:next w:val="Normal"/>
    <w:link w:val="Heading5Char"/>
    <w:uiPriority w:val="9"/>
    <w:semiHidden/>
    <w:unhideWhenUsed/>
    <w:qFormat/>
    <w:rsid w:val="00A67516"/>
    <w:pPr>
      <w:keepNext/>
      <w:keepLines/>
      <w:widowControl w:val="0"/>
      <w:numPr>
        <w:ilvl w:val="4"/>
        <w:numId w:val="2"/>
      </w:numPr>
      <w:spacing w:before="200"/>
      <w:jc w:val="left"/>
      <w:outlineLvl w:val="4"/>
    </w:pPr>
    <w:rPr>
      <w:rFonts w:asciiTheme="majorHAnsi" w:eastAsiaTheme="majorEastAsia" w:hAnsiTheme="majorHAnsi" w:cstheme="majorBidi"/>
      <w:color w:val="1F3763" w:themeColor="accent1" w:themeShade="7F"/>
      <w:sz w:val="22"/>
      <w:szCs w:val="22"/>
      <w:lang w:val="en-US"/>
    </w:rPr>
  </w:style>
  <w:style w:type="paragraph" w:styleId="Heading6">
    <w:name w:val="heading 6"/>
    <w:basedOn w:val="Normal"/>
    <w:next w:val="Normal"/>
    <w:link w:val="Heading6Char"/>
    <w:uiPriority w:val="9"/>
    <w:semiHidden/>
    <w:unhideWhenUsed/>
    <w:qFormat/>
    <w:rsid w:val="00A67516"/>
    <w:pPr>
      <w:keepNext/>
      <w:keepLines/>
      <w:widowControl w:val="0"/>
      <w:numPr>
        <w:ilvl w:val="5"/>
        <w:numId w:val="2"/>
      </w:numPr>
      <w:spacing w:before="200"/>
      <w:jc w:val="left"/>
      <w:outlineLvl w:val="5"/>
    </w:pPr>
    <w:rPr>
      <w:rFonts w:asciiTheme="majorHAnsi" w:eastAsiaTheme="majorEastAsia" w:hAnsiTheme="majorHAnsi" w:cstheme="majorBidi"/>
      <w:i/>
      <w:iCs/>
      <w:color w:val="1F3763" w:themeColor="accent1" w:themeShade="7F"/>
      <w:sz w:val="22"/>
      <w:szCs w:val="22"/>
      <w:lang w:val="en-US"/>
    </w:rPr>
  </w:style>
  <w:style w:type="paragraph" w:styleId="Heading7">
    <w:name w:val="heading 7"/>
    <w:basedOn w:val="Normal"/>
    <w:next w:val="Normal"/>
    <w:link w:val="Heading7Char"/>
    <w:uiPriority w:val="9"/>
    <w:semiHidden/>
    <w:unhideWhenUsed/>
    <w:qFormat/>
    <w:rsid w:val="00A67516"/>
    <w:pPr>
      <w:keepNext/>
      <w:keepLines/>
      <w:widowControl w:val="0"/>
      <w:numPr>
        <w:ilvl w:val="6"/>
        <w:numId w:val="2"/>
      </w:numPr>
      <w:spacing w:before="200"/>
      <w:jc w:val="left"/>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A67516"/>
    <w:pPr>
      <w:keepNext/>
      <w:keepLines/>
      <w:widowControl w:val="0"/>
      <w:numPr>
        <w:ilvl w:val="7"/>
        <w:numId w:val="2"/>
      </w:numPr>
      <w:spacing w:before="200"/>
      <w:jc w:val="left"/>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uiPriority w:val="9"/>
    <w:semiHidden/>
    <w:unhideWhenUsed/>
    <w:qFormat/>
    <w:rsid w:val="00A67516"/>
    <w:pPr>
      <w:keepNext/>
      <w:keepLines/>
      <w:widowControl w:val="0"/>
      <w:numPr>
        <w:ilvl w:val="8"/>
        <w:numId w:val="2"/>
      </w:numPr>
      <w:spacing w:before="200"/>
      <w:jc w:val="left"/>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3F0"/>
    <w:pPr>
      <w:ind w:left="720"/>
      <w:contextualSpacing/>
    </w:pPr>
  </w:style>
  <w:style w:type="character" w:customStyle="1" w:styleId="Heading1Char">
    <w:name w:val="Heading 1 Char"/>
    <w:basedOn w:val="DefaultParagraphFont"/>
    <w:link w:val="Heading1"/>
    <w:uiPriority w:val="1"/>
    <w:rsid w:val="00A67516"/>
    <w:rPr>
      <w:rFonts w:ascii="Arial" w:eastAsia="Arial" w:hAnsi="Arial"/>
      <w:b/>
      <w:bCs/>
      <w:color w:val="98002E"/>
      <w:sz w:val="36"/>
      <w:szCs w:val="36"/>
      <w:lang w:val="en-US"/>
    </w:rPr>
  </w:style>
  <w:style w:type="character" w:customStyle="1" w:styleId="Heading2Char">
    <w:name w:val="Heading 2 Char"/>
    <w:basedOn w:val="DefaultParagraphFont"/>
    <w:link w:val="Heading2"/>
    <w:uiPriority w:val="1"/>
    <w:semiHidden/>
    <w:rsid w:val="00A67516"/>
    <w:rPr>
      <w:rFonts w:ascii="Arial" w:eastAsia="Arial" w:hAnsi="Arial"/>
      <w:b/>
      <w:bCs/>
      <w:color w:val="98002E"/>
      <w:sz w:val="28"/>
      <w:szCs w:val="28"/>
      <w:lang w:val="en-US"/>
    </w:rPr>
  </w:style>
  <w:style w:type="character" w:customStyle="1" w:styleId="Heading3Char">
    <w:name w:val="Heading 3 Char"/>
    <w:basedOn w:val="DefaultParagraphFont"/>
    <w:link w:val="Heading3"/>
    <w:uiPriority w:val="1"/>
    <w:semiHidden/>
    <w:rsid w:val="00A67516"/>
    <w:rPr>
      <w:rFonts w:ascii="Arial" w:eastAsia="Arial" w:hAnsi="Arial"/>
      <w:bCs/>
      <w:sz w:val="24"/>
      <w:szCs w:val="24"/>
      <w:lang w:val="en-US"/>
    </w:rPr>
  </w:style>
  <w:style w:type="character" w:customStyle="1" w:styleId="Heading4Char">
    <w:name w:val="Heading 4 Char"/>
    <w:basedOn w:val="DefaultParagraphFont"/>
    <w:link w:val="Heading4"/>
    <w:uiPriority w:val="9"/>
    <w:semiHidden/>
    <w:rsid w:val="00A67516"/>
    <w:rPr>
      <w:rFonts w:ascii="Arial" w:eastAsiaTheme="majorEastAsia" w:hAnsi="Arial" w:cstheme="majorBidi"/>
      <w:bCs/>
      <w:iCs/>
      <w:lang w:val="en-US"/>
    </w:rPr>
  </w:style>
  <w:style w:type="character" w:customStyle="1" w:styleId="Heading5Char">
    <w:name w:val="Heading 5 Char"/>
    <w:basedOn w:val="DefaultParagraphFont"/>
    <w:link w:val="Heading5"/>
    <w:uiPriority w:val="9"/>
    <w:semiHidden/>
    <w:rsid w:val="00A67516"/>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A67516"/>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A67516"/>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67516"/>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67516"/>
    <w:rPr>
      <w:rFonts w:asciiTheme="majorHAnsi" w:eastAsiaTheme="majorEastAsia" w:hAnsiTheme="majorHAnsi" w:cstheme="majorBidi"/>
      <w:i/>
      <w:iCs/>
      <w:color w:val="404040" w:themeColor="text1" w:themeTint="BF"/>
      <w:sz w:val="20"/>
      <w:szCs w:val="20"/>
      <w:lang w:val="en-US"/>
    </w:rPr>
  </w:style>
  <w:style w:type="character" w:styleId="Hyperlink">
    <w:name w:val="Hyperlink"/>
    <w:basedOn w:val="DefaultParagraphFont"/>
    <w:uiPriority w:val="99"/>
    <w:unhideWhenUsed/>
    <w:rsid w:val="00A67516"/>
    <w:rPr>
      <w:color w:val="0563C1" w:themeColor="hyperlink"/>
      <w:u w:val="single"/>
    </w:rPr>
  </w:style>
  <w:style w:type="paragraph" w:styleId="FootnoteText">
    <w:name w:val="footnote text"/>
    <w:basedOn w:val="Normal"/>
    <w:link w:val="FootnoteTextChar"/>
    <w:uiPriority w:val="99"/>
    <w:semiHidden/>
    <w:unhideWhenUsed/>
    <w:rsid w:val="00A67516"/>
    <w:pPr>
      <w:widowControl w:val="0"/>
      <w:jc w:val="left"/>
    </w:pPr>
    <w:rPr>
      <w:rFonts w:asciiTheme="minorHAnsi" w:eastAsiaTheme="minorHAnsi" w:hAnsiTheme="minorHAnsi" w:cstheme="minorBidi"/>
      <w:sz w:val="20"/>
      <w:lang w:val="en-US"/>
    </w:rPr>
  </w:style>
  <w:style w:type="character" w:customStyle="1" w:styleId="FootnoteTextChar">
    <w:name w:val="Footnote Text Char"/>
    <w:basedOn w:val="DefaultParagraphFont"/>
    <w:link w:val="FootnoteText"/>
    <w:uiPriority w:val="99"/>
    <w:semiHidden/>
    <w:rsid w:val="00A67516"/>
    <w:rPr>
      <w:rFonts w:eastAsiaTheme="minorHAnsi"/>
      <w:sz w:val="20"/>
      <w:szCs w:val="20"/>
      <w:lang w:val="en-US"/>
    </w:rPr>
  </w:style>
  <w:style w:type="character" w:styleId="FootnoteReference">
    <w:name w:val="footnote reference"/>
    <w:basedOn w:val="DefaultParagraphFont"/>
    <w:uiPriority w:val="99"/>
    <w:semiHidden/>
    <w:unhideWhenUsed/>
    <w:rsid w:val="00A67516"/>
    <w:rPr>
      <w:vertAlign w:val="superscript"/>
    </w:rPr>
  </w:style>
  <w:style w:type="paragraph" w:styleId="Title">
    <w:name w:val="Title"/>
    <w:basedOn w:val="Normal"/>
    <w:next w:val="Normal"/>
    <w:link w:val="TitleChar"/>
    <w:uiPriority w:val="10"/>
    <w:qFormat/>
    <w:rsid w:val="005F05E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5EC"/>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5F05EC"/>
    <w:rPr>
      <w:color w:val="605E5C"/>
      <w:shd w:val="clear" w:color="auto" w:fill="E1DFDD"/>
    </w:rPr>
  </w:style>
  <w:style w:type="paragraph" w:styleId="BalloonText">
    <w:name w:val="Balloon Text"/>
    <w:basedOn w:val="Normal"/>
    <w:link w:val="BalloonTextChar"/>
    <w:uiPriority w:val="99"/>
    <w:semiHidden/>
    <w:unhideWhenUsed/>
    <w:rsid w:val="00042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EAB"/>
    <w:rPr>
      <w:rFonts w:ascii="Segoe UI" w:hAnsi="Segoe UI" w:cs="Segoe UI"/>
      <w:sz w:val="18"/>
      <w:szCs w:val="18"/>
    </w:rPr>
  </w:style>
  <w:style w:type="paragraph" w:styleId="Header">
    <w:name w:val="header"/>
    <w:basedOn w:val="Normal"/>
    <w:link w:val="HeaderChar"/>
    <w:uiPriority w:val="99"/>
    <w:unhideWhenUsed/>
    <w:rsid w:val="00042EAB"/>
    <w:pPr>
      <w:tabs>
        <w:tab w:val="center" w:pos="4513"/>
        <w:tab w:val="right" w:pos="9026"/>
      </w:tabs>
    </w:pPr>
  </w:style>
  <w:style w:type="character" w:customStyle="1" w:styleId="HeaderChar">
    <w:name w:val="Header Char"/>
    <w:basedOn w:val="DefaultParagraphFont"/>
    <w:link w:val="Header"/>
    <w:uiPriority w:val="99"/>
    <w:rsid w:val="00042EAB"/>
    <w:rPr>
      <w:rFonts w:ascii="Arial" w:hAnsi="Arial" w:cs="Arial"/>
      <w:sz w:val="24"/>
      <w:szCs w:val="20"/>
    </w:rPr>
  </w:style>
  <w:style w:type="paragraph" w:styleId="Footer">
    <w:name w:val="footer"/>
    <w:basedOn w:val="Normal"/>
    <w:link w:val="FooterChar"/>
    <w:uiPriority w:val="99"/>
    <w:unhideWhenUsed/>
    <w:rsid w:val="00042EAB"/>
    <w:pPr>
      <w:tabs>
        <w:tab w:val="center" w:pos="4513"/>
        <w:tab w:val="right" w:pos="9026"/>
      </w:tabs>
    </w:pPr>
  </w:style>
  <w:style w:type="character" w:customStyle="1" w:styleId="FooterChar">
    <w:name w:val="Footer Char"/>
    <w:basedOn w:val="DefaultParagraphFont"/>
    <w:link w:val="Footer"/>
    <w:uiPriority w:val="99"/>
    <w:rsid w:val="00042EAB"/>
    <w:rPr>
      <w:rFonts w:ascii="Arial" w:hAnsi="Arial" w:cs="Arial"/>
      <w:sz w:val="24"/>
      <w:szCs w:val="20"/>
    </w:rPr>
  </w:style>
  <w:style w:type="character" w:styleId="UnresolvedMention">
    <w:name w:val="Unresolved Mention"/>
    <w:basedOn w:val="DefaultParagraphFont"/>
    <w:uiPriority w:val="99"/>
    <w:semiHidden/>
    <w:unhideWhenUsed/>
    <w:rsid w:val="0069146D"/>
    <w:rPr>
      <w:color w:val="605E5C"/>
      <w:shd w:val="clear" w:color="auto" w:fill="E1DFDD"/>
    </w:rPr>
  </w:style>
  <w:style w:type="character" w:styleId="FollowedHyperlink">
    <w:name w:val="FollowedHyperlink"/>
    <w:basedOn w:val="DefaultParagraphFont"/>
    <w:uiPriority w:val="99"/>
    <w:semiHidden/>
    <w:unhideWhenUsed/>
    <w:rsid w:val="00DA5E61"/>
    <w:rPr>
      <w:color w:val="954F72" w:themeColor="followedHyperlink"/>
      <w:u w:val="single"/>
    </w:rPr>
  </w:style>
  <w:style w:type="paragraph" w:styleId="NormalWeb">
    <w:name w:val="Normal (Web)"/>
    <w:basedOn w:val="Normal"/>
    <w:uiPriority w:val="99"/>
    <w:semiHidden/>
    <w:unhideWhenUsed/>
    <w:rsid w:val="00AB44E9"/>
    <w:pPr>
      <w:spacing w:before="100" w:beforeAutospacing="1" w:after="100" w:afterAutospacing="1"/>
      <w:jc w:val="left"/>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0836">
      <w:bodyDiv w:val="1"/>
      <w:marLeft w:val="0"/>
      <w:marRight w:val="0"/>
      <w:marTop w:val="0"/>
      <w:marBottom w:val="0"/>
      <w:divBdr>
        <w:top w:val="none" w:sz="0" w:space="0" w:color="auto"/>
        <w:left w:val="none" w:sz="0" w:space="0" w:color="auto"/>
        <w:bottom w:val="none" w:sz="0" w:space="0" w:color="auto"/>
        <w:right w:val="none" w:sz="0" w:space="0" w:color="auto"/>
      </w:divBdr>
    </w:div>
    <w:div w:id="529759039">
      <w:bodyDiv w:val="1"/>
      <w:marLeft w:val="0"/>
      <w:marRight w:val="0"/>
      <w:marTop w:val="0"/>
      <w:marBottom w:val="0"/>
      <w:divBdr>
        <w:top w:val="none" w:sz="0" w:space="0" w:color="auto"/>
        <w:left w:val="none" w:sz="0" w:space="0" w:color="auto"/>
        <w:bottom w:val="none" w:sz="0" w:space="0" w:color="auto"/>
        <w:right w:val="none" w:sz="0" w:space="0" w:color="auto"/>
      </w:divBdr>
    </w:div>
    <w:div w:id="891774919">
      <w:bodyDiv w:val="1"/>
      <w:marLeft w:val="0"/>
      <w:marRight w:val="0"/>
      <w:marTop w:val="0"/>
      <w:marBottom w:val="0"/>
      <w:divBdr>
        <w:top w:val="none" w:sz="0" w:space="0" w:color="auto"/>
        <w:left w:val="none" w:sz="0" w:space="0" w:color="auto"/>
        <w:bottom w:val="none" w:sz="0" w:space="0" w:color="auto"/>
        <w:right w:val="none" w:sz="0" w:space="0" w:color="auto"/>
      </w:divBdr>
    </w:div>
    <w:div w:id="956181754">
      <w:bodyDiv w:val="1"/>
      <w:marLeft w:val="0"/>
      <w:marRight w:val="0"/>
      <w:marTop w:val="0"/>
      <w:marBottom w:val="0"/>
      <w:divBdr>
        <w:top w:val="none" w:sz="0" w:space="0" w:color="auto"/>
        <w:left w:val="none" w:sz="0" w:space="0" w:color="auto"/>
        <w:bottom w:val="none" w:sz="0" w:space="0" w:color="auto"/>
        <w:right w:val="none" w:sz="0" w:space="0" w:color="auto"/>
      </w:divBdr>
    </w:div>
    <w:div w:id="1999337812">
      <w:bodyDiv w:val="1"/>
      <w:marLeft w:val="0"/>
      <w:marRight w:val="0"/>
      <w:marTop w:val="0"/>
      <w:marBottom w:val="0"/>
      <w:divBdr>
        <w:top w:val="none" w:sz="0" w:space="0" w:color="auto"/>
        <w:left w:val="none" w:sz="0" w:space="0" w:color="auto"/>
        <w:bottom w:val="none" w:sz="0" w:space="0" w:color="auto"/>
        <w:right w:val="none" w:sz="0" w:space="0" w:color="auto"/>
      </w:divBdr>
    </w:div>
    <w:div w:id="204355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ne.camacho@nca.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wpgmd.nhs.uk/Specialty_Schools/Public_Heal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ph.org.uk/media/3450/public-health-curriculum-v13.pdf" TargetMode="External"/><Relationship Id="rId4" Type="http://schemas.openxmlformats.org/officeDocument/2006/relationships/settings" Target="settings.xml"/><Relationship Id="rId9" Type="http://schemas.openxmlformats.org/officeDocument/2006/relationships/hyperlink" Target="https://www.northerncarealliance.nhs.uk/abou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48ED8-6C16-4EF9-989E-B949CCDF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Camacho</dc:creator>
  <cp:lastModifiedBy>SHAW, Jennifer (NHS ENGLAND)</cp:lastModifiedBy>
  <cp:revision>2</cp:revision>
  <dcterms:created xsi:type="dcterms:W3CDTF">2025-12-03T11:29:00Z</dcterms:created>
  <dcterms:modified xsi:type="dcterms:W3CDTF">2025-12-03T11:29:00Z</dcterms:modified>
</cp:coreProperties>
</file>