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CB40A" w14:textId="1CBF2A03" w:rsidR="00512CEC" w:rsidRPr="00096EC8" w:rsidRDefault="00096EC8" w:rsidP="00096EC8">
      <w:pPr>
        <w:pBdr>
          <w:top w:val="single" w:sz="4" w:space="0" w:color="auto"/>
          <w:left w:val="single" w:sz="4" w:space="4" w:color="auto"/>
          <w:bottom w:val="single" w:sz="4" w:space="1" w:color="auto"/>
          <w:right w:val="single" w:sz="4" w:space="0" w:color="auto"/>
          <w:between w:val="single" w:sz="4" w:space="1" w:color="auto"/>
        </w:pBdr>
        <w:spacing w:before="20" w:after="20" w:line="240" w:lineRule="auto"/>
        <w:ind w:right="-142"/>
        <w:jc w:val="center"/>
        <w:rPr>
          <w:rFonts w:ascii="Arial" w:eastAsia="Times New Roman" w:hAnsi="Arial" w:cs="Arial"/>
          <w:b/>
          <w:kern w:val="0"/>
          <w:sz w:val="28"/>
          <w:szCs w:val="28"/>
          <w:lang w:val="en-US"/>
          <w14:ligatures w14:val="none"/>
        </w:rPr>
      </w:pPr>
      <w:r w:rsidRPr="00512CEC">
        <w:rPr>
          <w:rFonts w:ascii="Arial" w:eastAsia="Times New Roman" w:hAnsi="Arial" w:cs="Arial"/>
          <w:b/>
          <w:kern w:val="0"/>
          <w:sz w:val="28"/>
          <w:szCs w:val="28"/>
          <w:lang w:val="en-US"/>
          <w14:ligatures w14:val="none"/>
        </w:rPr>
        <w:t xml:space="preserve">The </w:t>
      </w:r>
      <w:proofErr w:type="gramStart"/>
      <w:r w:rsidRPr="00512CEC">
        <w:rPr>
          <w:rFonts w:ascii="Arial" w:eastAsia="Times New Roman" w:hAnsi="Arial" w:cs="Arial"/>
          <w:b/>
          <w:kern w:val="0"/>
          <w:sz w:val="28"/>
          <w:szCs w:val="28"/>
          <w:lang w:val="en-US"/>
          <w14:ligatures w14:val="none"/>
        </w:rPr>
        <w:t>North</w:t>
      </w:r>
      <w:r w:rsidR="00D17893">
        <w:rPr>
          <w:rFonts w:ascii="Arial" w:eastAsia="Times New Roman" w:hAnsi="Arial" w:cs="Arial"/>
          <w:b/>
          <w:kern w:val="0"/>
          <w:sz w:val="28"/>
          <w:szCs w:val="28"/>
          <w:lang w:val="en-US"/>
          <w14:ligatures w14:val="none"/>
        </w:rPr>
        <w:t xml:space="preserve"> W</w:t>
      </w:r>
      <w:r w:rsidRPr="00512CEC">
        <w:rPr>
          <w:rFonts w:ascii="Arial" w:eastAsia="Times New Roman" w:hAnsi="Arial" w:cs="Arial"/>
          <w:b/>
          <w:kern w:val="0"/>
          <w:sz w:val="28"/>
          <w:szCs w:val="28"/>
          <w:lang w:val="en-US"/>
          <w14:ligatures w14:val="none"/>
        </w:rPr>
        <w:t>est</w:t>
      </w:r>
      <w:proofErr w:type="gramEnd"/>
      <w:r w:rsidRPr="00512CEC">
        <w:rPr>
          <w:rFonts w:ascii="Arial" w:eastAsia="Times New Roman" w:hAnsi="Arial" w:cs="Arial"/>
          <w:b/>
          <w:kern w:val="0"/>
          <w:sz w:val="28"/>
          <w:szCs w:val="28"/>
          <w:lang w:val="en-US"/>
          <w14:ligatures w14:val="none"/>
        </w:rPr>
        <w:t xml:space="preserve"> </w:t>
      </w:r>
      <w:r w:rsidR="00A02AAB">
        <w:rPr>
          <w:rFonts w:ascii="Arial" w:eastAsia="Times New Roman" w:hAnsi="Arial" w:cs="Arial"/>
          <w:b/>
          <w:kern w:val="0"/>
          <w:sz w:val="28"/>
          <w:szCs w:val="28"/>
          <w:lang w:val="en-US"/>
          <w14:ligatures w14:val="none"/>
        </w:rPr>
        <w:t>Histop</w:t>
      </w:r>
      <w:r w:rsidRPr="00512CEC">
        <w:rPr>
          <w:rFonts w:ascii="Arial" w:eastAsia="Times New Roman" w:hAnsi="Arial" w:cs="Arial"/>
          <w:b/>
          <w:kern w:val="0"/>
          <w:sz w:val="28"/>
          <w:szCs w:val="28"/>
          <w:lang w:val="en-US"/>
          <w14:ligatures w14:val="none"/>
        </w:rPr>
        <w:t xml:space="preserve">athology Specialist Registrar Pathway to Independent Reporting and </w:t>
      </w:r>
      <w:r w:rsidR="00B431AE">
        <w:rPr>
          <w:rFonts w:ascii="Arial" w:eastAsia="Times New Roman" w:hAnsi="Arial" w:cs="Arial"/>
          <w:b/>
          <w:kern w:val="0"/>
          <w:sz w:val="28"/>
          <w:szCs w:val="28"/>
          <w:lang w:val="en-US"/>
          <w14:ligatures w14:val="none"/>
        </w:rPr>
        <w:t>I</w:t>
      </w:r>
      <w:r w:rsidRPr="00512CEC">
        <w:rPr>
          <w:rFonts w:ascii="Arial" w:eastAsia="Times New Roman" w:hAnsi="Arial" w:cs="Arial"/>
          <w:b/>
          <w:kern w:val="0"/>
          <w:sz w:val="28"/>
          <w:szCs w:val="28"/>
          <w:lang w:val="en-US"/>
          <w14:ligatures w14:val="none"/>
        </w:rPr>
        <w:t xml:space="preserve">ndependent Reporting Policy and Guide </w:t>
      </w:r>
    </w:p>
    <w:p w14:paraId="48D84FEF" w14:textId="77777777" w:rsidR="00D17893" w:rsidRPr="00512CEC" w:rsidRDefault="00D17893" w:rsidP="00512CEC">
      <w:pPr>
        <w:tabs>
          <w:tab w:val="left" w:pos="1080"/>
        </w:tabs>
        <w:spacing w:after="0" w:line="240" w:lineRule="auto"/>
        <w:rPr>
          <w:rFonts w:ascii="Arial" w:eastAsia="Arial Unicode MS" w:hAnsi="Arial" w:cs="Arial"/>
          <w:kern w:val="0"/>
          <w:sz w:val="24"/>
          <w:szCs w:val="24"/>
          <w:lang w:val="en-US"/>
          <w14:ligatures w14:val="none"/>
        </w:rPr>
      </w:pPr>
    </w:p>
    <w:p w14:paraId="7C5B7C7F" w14:textId="57E77282" w:rsidR="00512CEC" w:rsidRPr="00512CEC" w:rsidRDefault="00512CEC" w:rsidP="00512CEC">
      <w:pPr>
        <w:keepNext/>
        <w:spacing w:before="120" w:after="120" w:line="240" w:lineRule="auto"/>
        <w:outlineLvl w:val="0"/>
        <w:rPr>
          <w:rFonts w:ascii="Arial" w:eastAsia="Times New Roman" w:hAnsi="Arial" w:cs="Arial"/>
          <w:b/>
          <w:kern w:val="0"/>
          <w:sz w:val="24"/>
          <w:szCs w:val="20"/>
          <w:u w:val="single"/>
          <w14:ligatures w14:val="none"/>
        </w:rPr>
      </w:pPr>
      <w:bookmarkStart w:id="0" w:name="_Toc23145898"/>
      <w:r w:rsidRPr="00512CEC">
        <w:rPr>
          <w:rFonts w:ascii="Arial" w:eastAsia="Times New Roman" w:hAnsi="Arial" w:cs="Arial"/>
          <w:b/>
          <w:kern w:val="0"/>
          <w:sz w:val="24"/>
          <w:szCs w:val="20"/>
          <w:u w:val="single"/>
          <w14:ligatures w14:val="none"/>
        </w:rPr>
        <w:t>1 Policy Statement</w:t>
      </w:r>
      <w:bookmarkEnd w:id="0"/>
    </w:p>
    <w:p w14:paraId="5CC40FC4" w14:textId="7472F9A0" w:rsidR="00512CEC" w:rsidRPr="00512CEC" w:rsidRDefault="00512CEC" w:rsidP="00512CEC">
      <w:pPr>
        <w:keepNext/>
        <w:spacing w:before="240" w:after="120" w:line="240" w:lineRule="auto"/>
        <w:outlineLvl w:val="0"/>
        <w:rPr>
          <w:rFonts w:ascii="Arial" w:eastAsia="Times New Roman" w:hAnsi="Arial" w:cs="Arial"/>
          <w:kern w:val="0"/>
          <w:sz w:val="24"/>
          <w:szCs w:val="24"/>
          <w:lang w:eastAsia="en-GB"/>
          <w14:ligatures w14:val="none"/>
        </w:rPr>
      </w:pPr>
      <w:bookmarkStart w:id="1" w:name="_Toc23145899"/>
      <w:r w:rsidRPr="00512CEC">
        <w:rPr>
          <w:rFonts w:ascii="Arial" w:eastAsia="Times New Roman" w:hAnsi="Arial" w:cs="Arial"/>
          <w:kern w:val="0"/>
          <w:sz w:val="24"/>
          <w:szCs w:val="24"/>
          <w:lang w:eastAsia="en-GB"/>
          <w14:ligatures w14:val="none"/>
        </w:rPr>
        <w:t>To allow NW Histopathology Resident Doctors (RD) to achieve independent reporting (IR) curriculum competencies, without putting patient safety at risk.</w:t>
      </w:r>
      <w:bookmarkEnd w:id="1"/>
    </w:p>
    <w:p w14:paraId="689DC750" w14:textId="77777777" w:rsidR="00512CEC" w:rsidRPr="00512CEC" w:rsidRDefault="00512CEC" w:rsidP="00512CEC">
      <w:pPr>
        <w:keepNext/>
        <w:spacing w:before="240" w:after="120" w:line="240" w:lineRule="auto"/>
        <w:outlineLvl w:val="0"/>
        <w:rPr>
          <w:rFonts w:ascii="Arial" w:eastAsia="Times New Roman" w:hAnsi="Arial" w:cs="Arial"/>
          <w:b/>
          <w:kern w:val="0"/>
          <w:sz w:val="24"/>
          <w:szCs w:val="20"/>
          <w:u w:val="single"/>
          <w14:ligatures w14:val="none"/>
        </w:rPr>
      </w:pPr>
      <w:bookmarkStart w:id="2" w:name="_Toc23145900"/>
      <w:r w:rsidRPr="00512CEC">
        <w:rPr>
          <w:rFonts w:ascii="Arial" w:eastAsia="Times New Roman" w:hAnsi="Arial" w:cs="Arial"/>
          <w:b/>
          <w:kern w:val="0"/>
          <w:sz w:val="24"/>
          <w:szCs w:val="20"/>
          <w:u w:val="single"/>
          <w14:ligatures w14:val="none"/>
        </w:rPr>
        <w:t>2 Policy Summary</w:t>
      </w:r>
      <w:bookmarkEnd w:id="2"/>
    </w:p>
    <w:p w14:paraId="07F44499" w14:textId="77777777" w:rsidR="00512CEC" w:rsidRPr="00512CEC" w:rsidRDefault="00512CEC" w:rsidP="00512CEC">
      <w:p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This policy outlines the procedures and responsibilities for IR by trainers and RDs.</w:t>
      </w:r>
    </w:p>
    <w:p w14:paraId="40F850B6" w14:textId="77777777" w:rsidR="00512CEC" w:rsidRPr="00512CEC" w:rsidRDefault="00512CEC" w:rsidP="00512CEC">
      <w:pPr>
        <w:keepNext/>
        <w:spacing w:before="240" w:after="120" w:line="240" w:lineRule="auto"/>
        <w:outlineLvl w:val="0"/>
        <w:rPr>
          <w:rFonts w:ascii="Arial" w:eastAsia="Times New Roman" w:hAnsi="Arial" w:cs="Arial"/>
          <w:b/>
          <w:kern w:val="0"/>
          <w:sz w:val="24"/>
          <w:szCs w:val="20"/>
          <w:u w:val="single"/>
          <w14:ligatures w14:val="none"/>
        </w:rPr>
      </w:pPr>
      <w:bookmarkStart w:id="3" w:name="_Toc23145901"/>
      <w:r w:rsidRPr="00512CEC">
        <w:rPr>
          <w:rFonts w:ascii="Arial" w:eastAsia="Times New Roman" w:hAnsi="Arial" w:cs="Arial"/>
          <w:b/>
          <w:kern w:val="0"/>
          <w:sz w:val="24"/>
          <w:szCs w:val="20"/>
          <w:u w:val="single"/>
          <w14:ligatures w14:val="none"/>
        </w:rPr>
        <w:t>3 Policy Purpose</w:t>
      </w:r>
      <w:bookmarkEnd w:id="3"/>
    </w:p>
    <w:p w14:paraId="113D39A0" w14:textId="595FB191" w:rsidR="00512CEC" w:rsidRPr="00512CEC" w:rsidRDefault="00512CEC" w:rsidP="00512CEC">
      <w:pPr>
        <w:spacing w:after="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To clarify the purpose of IR</w:t>
      </w:r>
      <w:r w:rsidR="00021798">
        <w:rPr>
          <w:rFonts w:ascii="Arial" w:eastAsia="Arial Unicode MS" w:hAnsi="Arial" w:cs="Arial"/>
          <w:kern w:val="0"/>
          <w:sz w:val="24"/>
          <w:szCs w:val="24"/>
          <w:lang w:val="en-US"/>
          <w14:ligatures w14:val="none"/>
        </w:rPr>
        <w:t>.</w:t>
      </w:r>
    </w:p>
    <w:p w14:paraId="74D86AFD" w14:textId="77777777" w:rsidR="00512CEC" w:rsidRPr="00512CEC" w:rsidRDefault="00512CEC" w:rsidP="00512CEC">
      <w:p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To clarify the procedure for IR.</w:t>
      </w:r>
    </w:p>
    <w:p w14:paraId="2D8D7122" w14:textId="77777777" w:rsidR="00512CEC" w:rsidRPr="00512CEC" w:rsidRDefault="00512CEC" w:rsidP="00512CEC">
      <w:p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To clarify required RD competencies and qualifications for independent reporting.</w:t>
      </w:r>
    </w:p>
    <w:p w14:paraId="2639FDB2" w14:textId="77777777" w:rsidR="00512CEC" w:rsidRPr="00512CEC" w:rsidRDefault="00512CEC" w:rsidP="00512CEC">
      <w:p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To clarify the responsibilities and roles of consultant Histopathology trainers and RD in independent reporting.</w:t>
      </w:r>
    </w:p>
    <w:p w14:paraId="19C64F10" w14:textId="77777777" w:rsidR="00512CEC" w:rsidRPr="00512CEC" w:rsidRDefault="00512CEC" w:rsidP="00512CEC">
      <w:pPr>
        <w:keepNext/>
        <w:spacing w:before="240" w:after="120" w:line="240" w:lineRule="auto"/>
        <w:outlineLvl w:val="0"/>
        <w:rPr>
          <w:rFonts w:ascii="Arial" w:eastAsia="Times New Roman" w:hAnsi="Arial" w:cs="Arial"/>
          <w:b/>
          <w:kern w:val="0"/>
          <w:sz w:val="24"/>
          <w:szCs w:val="20"/>
          <w:u w:val="single"/>
          <w14:ligatures w14:val="none"/>
        </w:rPr>
      </w:pPr>
      <w:bookmarkStart w:id="4" w:name="_Toc23145902"/>
      <w:r w:rsidRPr="00512CEC">
        <w:rPr>
          <w:rFonts w:ascii="Arial" w:eastAsia="Times New Roman" w:hAnsi="Arial" w:cs="Arial"/>
          <w:b/>
          <w:kern w:val="0"/>
          <w:sz w:val="24"/>
          <w:szCs w:val="20"/>
          <w:u w:val="single"/>
          <w14:ligatures w14:val="none"/>
        </w:rPr>
        <w:t>4 Policy and/or Procedural Requirements</w:t>
      </w:r>
      <w:bookmarkEnd w:id="4"/>
    </w:p>
    <w:p w14:paraId="67D3D188" w14:textId="77777777" w:rsidR="00512CEC" w:rsidRPr="00512CEC" w:rsidRDefault="00512CEC" w:rsidP="00512CEC">
      <w:pPr>
        <w:numPr>
          <w:ilvl w:val="0"/>
          <w:numId w:val="1"/>
        </w:num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 xml:space="preserve">IR is being implemented to achieve Histopathology curriculum competencies. </w:t>
      </w:r>
    </w:p>
    <w:p w14:paraId="441A3B80" w14:textId="77777777" w:rsidR="00512CEC" w:rsidRPr="00512CEC" w:rsidRDefault="00512CEC" w:rsidP="00512CEC">
      <w:pPr>
        <w:numPr>
          <w:ilvl w:val="0"/>
          <w:numId w:val="1"/>
        </w:num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 xml:space="preserve">The IR pathway and reporting policy is applied to trainees in their 2nd year of training and beyond. </w:t>
      </w:r>
    </w:p>
    <w:p w14:paraId="3D698953" w14:textId="77777777" w:rsidR="00512CEC" w:rsidRPr="00512CEC" w:rsidRDefault="00512CEC" w:rsidP="00512CEC">
      <w:pPr>
        <w:numPr>
          <w:ilvl w:val="0"/>
          <w:numId w:val="1"/>
        </w:num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 xml:space="preserve">While there is no fixed start time for IR, it is envisaged that most RDs in their third year of training will have gained sufficient competencies to start IR. </w:t>
      </w:r>
    </w:p>
    <w:p w14:paraId="14C5F73E" w14:textId="521B9488" w:rsidR="00512CEC" w:rsidRPr="00512CEC" w:rsidRDefault="00512CEC" w:rsidP="00512CEC">
      <w:pPr>
        <w:numPr>
          <w:ilvl w:val="0"/>
          <w:numId w:val="1"/>
        </w:num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As a ‘</w:t>
      </w:r>
      <w:proofErr w:type="gramStart"/>
      <w:r w:rsidR="00133A28" w:rsidRPr="00512CEC">
        <w:rPr>
          <w:rFonts w:ascii="Arial" w:eastAsia="Arial Unicode MS" w:hAnsi="Arial" w:cs="Arial"/>
          <w:kern w:val="0"/>
          <w:sz w:val="24"/>
          <w:szCs w:val="24"/>
          <w:lang w:val="en-US"/>
          <w14:ligatures w14:val="none"/>
        </w:rPr>
        <w:t>stepping</w:t>
      </w:r>
      <w:r w:rsidR="00133A28">
        <w:rPr>
          <w:rFonts w:ascii="Arial" w:eastAsia="Arial Unicode MS" w:hAnsi="Arial" w:cs="Arial"/>
          <w:kern w:val="0"/>
          <w:sz w:val="24"/>
          <w:szCs w:val="24"/>
          <w:lang w:val="en-US"/>
          <w14:ligatures w14:val="none"/>
        </w:rPr>
        <w:t xml:space="preserve"> </w:t>
      </w:r>
      <w:r w:rsidR="00133A28" w:rsidRPr="00512CEC">
        <w:rPr>
          <w:rFonts w:ascii="Arial" w:eastAsia="Arial Unicode MS" w:hAnsi="Arial" w:cs="Arial"/>
          <w:kern w:val="0"/>
          <w:sz w:val="24"/>
          <w:szCs w:val="24"/>
          <w:lang w:val="en-US"/>
          <w14:ligatures w14:val="none"/>
        </w:rPr>
        <w:t>stone</w:t>
      </w:r>
      <w:proofErr w:type="gramEnd"/>
      <w:r w:rsidRPr="00512CEC">
        <w:rPr>
          <w:rFonts w:ascii="Arial" w:eastAsia="Arial Unicode MS" w:hAnsi="Arial" w:cs="Arial"/>
          <w:kern w:val="0"/>
          <w:sz w:val="24"/>
          <w:szCs w:val="24"/>
          <w:lang w:val="en-US"/>
          <w14:ligatures w14:val="none"/>
        </w:rPr>
        <w:t xml:space="preserve">’ to IR, trainees working on a particular specimen type can put through cases to their supervising consultants with fully completed reports for authorising by the supervising consultants, as a way of showing competence for that </w:t>
      </w:r>
      <w:r w:rsidR="00021798" w:rsidRPr="00512CEC">
        <w:rPr>
          <w:rFonts w:ascii="Arial" w:eastAsia="Arial Unicode MS" w:hAnsi="Arial" w:cs="Arial"/>
          <w:kern w:val="0"/>
          <w:sz w:val="24"/>
          <w:szCs w:val="24"/>
          <w:lang w:val="en-US"/>
          <w14:ligatures w14:val="none"/>
        </w:rPr>
        <w:t>specimen</w:t>
      </w:r>
      <w:r w:rsidRPr="00512CEC">
        <w:rPr>
          <w:rFonts w:ascii="Arial" w:eastAsia="Arial Unicode MS" w:hAnsi="Arial" w:cs="Arial"/>
          <w:kern w:val="0"/>
          <w:sz w:val="24"/>
          <w:szCs w:val="24"/>
          <w:lang w:val="en-US"/>
          <w14:ligatures w14:val="none"/>
        </w:rPr>
        <w:t xml:space="preserve"> type. The RCPath Specimen Grid for independent reporting should guide the case selection.</w:t>
      </w:r>
    </w:p>
    <w:p w14:paraId="09AAC0F2" w14:textId="77777777" w:rsidR="00512CEC" w:rsidRDefault="00512CEC" w:rsidP="00512CEC">
      <w:pPr>
        <w:numPr>
          <w:ilvl w:val="0"/>
          <w:numId w:val="1"/>
        </w:num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The RD should keep a clear record of all cases reported as part of their IR competency portfolio. These records should be submitted to the ARCP panel for assessment of progression.</w:t>
      </w:r>
    </w:p>
    <w:p w14:paraId="0B9D30FE" w14:textId="286D3087" w:rsidR="006E069F" w:rsidRPr="006E069F" w:rsidRDefault="006E069F" w:rsidP="006E069F">
      <w:pPr>
        <w:tabs>
          <w:tab w:val="left" w:pos="7800"/>
        </w:tabs>
        <w:rPr>
          <w:rFonts w:ascii="Arial" w:eastAsia="Arial Unicode MS" w:hAnsi="Arial" w:cs="Arial"/>
          <w:sz w:val="24"/>
          <w:szCs w:val="24"/>
          <w:lang w:val="en-US"/>
        </w:rPr>
      </w:pPr>
      <w:r>
        <w:rPr>
          <w:rFonts w:ascii="Arial" w:eastAsia="Arial Unicode MS" w:hAnsi="Arial" w:cs="Arial"/>
          <w:sz w:val="24"/>
          <w:szCs w:val="24"/>
          <w:lang w:val="en-US"/>
        </w:rPr>
        <w:tab/>
      </w:r>
    </w:p>
    <w:p w14:paraId="76B8B8F6" w14:textId="77777777" w:rsidR="00512CEC" w:rsidRPr="00512CEC" w:rsidRDefault="00512CEC" w:rsidP="00512CEC">
      <w:pPr>
        <w:numPr>
          <w:ilvl w:val="0"/>
          <w:numId w:val="1"/>
        </w:num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lastRenderedPageBreak/>
        <w:t xml:space="preserve">Trainees should liaise with their Educational Supervisor (ES) who in turn must liaise with the trainee’s supervising consultants (CS) to ensure their competencies are signed off as they progress. </w:t>
      </w:r>
    </w:p>
    <w:p w14:paraId="131E470E" w14:textId="77777777" w:rsidR="00D17893" w:rsidRDefault="00512CEC" w:rsidP="00512CEC">
      <w:pPr>
        <w:numPr>
          <w:ilvl w:val="0"/>
          <w:numId w:val="1"/>
        </w:num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 xml:space="preserve">As a regional policy IR is divided into two categories. </w:t>
      </w:r>
      <w:r w:rsidRPr="00512CEC">
        <w:rPr>
          <w:rFonts w:ascii="Arial" w:eastAsia="Arial Unicode MS" w:hAnsi="Arial" w:cs="Arial"/>
          <w:b/>
          <w:kern w:val="0"/>
          <w:sz w:val="24"/>
          <w:szCs w:val="24"/>
          <w:lang w:val="en-US"/>
          <w14:ligatures w14:val="none"/>
        </w:rPr>
        <w:t xml:space="preserve">Category 1 IR </w:t>
      </w:r>
      <w:r w:rsidRPr="00512CEC">
        <w:rPr>
          <w:rFonts w:ascii="Arial" w:eastAsia="Arial Unicode MS" w:hAnsi="Arial" w:cs="Arial"/>
          <w:kern w:val="0"/>
          <w:sz w:val="24"/>
          <w:szCs w:val="24"/>
          <w:lang w:val="en-US"/>
          <w14:ligatures w14:val="none"/>
        </w:rPr>
        <w:t xml:space="preserve">is where the RD can sign out the reports after achieving RCPath indicative numbers and sign off competencies for the same. The more complex cases that are not covered in the RCPath portfolio can also be counted towards IR. These cases are designated as </w:t>
      </w:r>
      <w:r w:rsidRPr="00512CEC">
        <w:rPr>
          <w:rFonts w:ascii="Arial" w:eastAsia="Arial Unicode MS" w:hAnsi="Arial" w:cs="Arial"/>
          <w:b/>
          <w:kern w:val="0"/>
          <w:sz w:val="24"/>
          <w:szCs w:val="24"/>
          <w:lang w:val="en-US"/>
          <w14:ligatures w14:val="none"/>
        </w:rPr>
        <w:t xml:space="preserve">Category 2 IR </w:t>
      </w:r>
      <w:r w:rsidRPr="00512CEC">
        <w:rPr>
          <w:rFonts w:ascii="Arial" w:eastAsia="Arial Unicode MS" w:hAnsi="Arial" w:cs="Arial"/>
          <w:kern w:val="0"/>
          <w:sz w:val="24"/>
          <w:szCs w:val="24"/>
          <w:lang w:val="en-US"/>
          <w14:ligatures w14:val="none"/>
        </w:rPr>
        <w:t xml:space="preserve">and </w:t>
      </w:r>
      <w:r w:rsidRPr="00512CEC">
        <w:rPr>
          <w:rFonts w:ascii="Arial" w:eastAsia="Arial Unicode MS" w:hAnsi="Arial" w:cs="Arial"/>
          <w:b/>
          <w:kern w:val="0"/>
          <w:sz w:val="24"/>
          <w:szCs w:val="24"/>
          <w:lang w:val="en-US"/>
          <w14:ligatures w14:val="none"/>
        </w:rPr>
        <w:t>MUST</w:t>
      </w:r>
      <w:r w:rsidRPr="00512CEC">
        <w:rPr>
          <w:rFonts w:ascii="Arial" w:eastAsia="Arial Unicode MS" w:hAnsi="Arial" w:cs="Arial"/>
          <w:kern w:val="0"/>
          <w:sz w:val="24"/>
          <w:szCs w:val="24"/>
          <w:lang w:val="en-US"/>
          <w14:ligatures w14:val="none"/>
        </w:rPr>
        <w:t xml:space="preserve"> be </w:t>
      </w:r>
    </w:p>
    <w:p w14:paraId="279CA649" w14:textId="67070381" w:rsidR="00512CEC" w:rsidRPr="00512CEC" w:rsidRDefault="00512CEC" w:rsidP="00512CEC">
      <w:pPr>
        <w:numPr>
          <w:ilvl w:val="0"/>
          <w:numId w:val="1"/>
        </w:num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co-signed by the supervising consultant. Category 2 IR is recommended for the more senior post FRCPath part 2 RD.</w:t>
      </w:r>
    </w:p>
    <w:p w14:paraId="3FA40E2B" w14:textId="77777777" w:rsidR="00512CEC" w:rsidRPr="00512CEC" w:rsidRDefault="00512CEC" w:rsidP="00512CEC">
      <w:pPr>
        <w:numPr>
          <w:ilvl w:val="0"/>
          <w:numId w:val="1"/>
        </w:num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Both Category 1 IR and Category 2 IR will be counted towards IR, but they should be recorded separately in the IR portfolio.</w:t>
      </w:r>
    </w:p>
    <w:p w14:paraId="13C064AF" w14:textId="77777777" w:rsidR="00512CEC" w:rsidRPr="00512CEC" w:rsidRDefault="00512CEC" w:rsidP="00512CEC">
      <w:pPr>
        <w:numPr>
          <w:ilvl w:val="0"/>
          <w:numId w:val="1"/>
        </w:num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Once signed off for Category 1 IR, the RD should liaise with their ES to discuss with the respective teams, arrangements for access to cases they are competent and ready to report independently.</w:t>
      </w:r>
    </w:p>
    <w:p w14:paraId="56E357FA" w14:textId="77777777" w:rsidR="00512CEC" w:rsidRPr="00512CEC" w:rsidRDefault="00512CEC" w:rsidP="00512CEC">
      <w:pPr>
        <w:numPr>
          <w:ilvl w:val="0"/>
          <w:numId w:val="1"/>
        </w:num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 xml:space="preserve">The RD should hand all Category 1 IR cases to the auditing /supervising consultant promptly. The Consultant should select cases for the audit, examine the slides with the report and ensure that it is correct for diagnosis, sense, grammar and SNOMED code. </w:t>
      </w:r>
    </w:p>
    <w:p w14:paraId="6AB2F9D2" w14:textId="77777777" w:rsidR="00512CEC" w:rsidRPr="00512CEC" w:rsidRDefault="00512CEC" w:rsidP="00512CEC">
      <w:pPr>
        <w:numPr>
          <w:ilvl w:val="0"/>
          <w:numId w:val="1"/>
        </w:num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 xml:space="preserve">The RD should also document Category 1 IR cases in the RCPath IR internal Audit form and pass the form to the supervising consultant to allocate a review score in the record, using the RCPath Independent Reporting Record and Internal Audit Form. </w:t>
      </w:r>
    </w:p>
    <w:p w14:paraId="6F26CB9F" w14:textId="77777777" w:rsidR="00512CEC" w:rsidRPr="00512CEC" w:rsidRDefault="00512CEC" w:rsidP="00512CEC">
      <w:pPr>
        <w:numPr>
          <w:ilvl w:val="0"/>
          <w:numId w:val="1"/>
        </w:num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 xml:space="preserve">For Category 1 IR cases that have been reviewed as part of the audit process, it is suggested that the supervising consultant adds a note or supplementary to state this case has been reviewed in accordance with the regional IR protocol. </w:t>
      </w:r>
    </w:p>
    <w:p w14:paraId="3E5E86E7" w14:textId="77777777" w:rsidR="00512CEC" w:rsidRPr="00512CEC" w:rsidRDefault="00512CEC" w:rsidP="00512CEC">
      <w:pPr>
        <w:numPr>
          <w:ilvl w:val="0"/>
          <w:numId w:val="1"/>
        </w:num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 xml:space="preserve">Category 2 IR cases do not need to be audited. </w:t>
      </w:r>
    </w:p>
    <w:p w14:paraId="4B6A1460" w14:textId="77777777" w:rsidR="00512CEC" w:rsidRPr="00512CEC" w:rsidRDefault="00512CEC" w:rsidP="00512CEC">
      <w:pPr>
        <w:numPr>
          <w:ilvl w:val="0"/>
          <w:numId w:val="1"/>
        </w:num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For Category 2 IR cases, which are not covered by the RCPath competency framework, there should be a consensus between the ES and the CS on the trainee’s ability to report these cases independently. Documentation of this agreement should be included in an assessment of performance form (AOP).</w:t>
      </w:r>
    </w:p>
    <w:p w14:paraId="3F9C7327" w14:textId="74C0162D" w:rsidR="00512CEC" w:rsidRPr="00512CEC" w:rsidRDefault="00512CEC" w:rsidP="00512CEC">
      <w:pPr>
        <w:numPr>
          <w:ilvl w:val="0"/>
          <w:numId w:val="1"/>
        </w:num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 xml:space="preserve">Trainees must not independently report any specimens for which they have not had their </w:t>
      </w:r>
      <w:r w:rsidR="00021798" w:rsidRPr="00512CEC">
        <w:rPr>
          <w:rFonts w:ascii="Arial" w:eastAsia="Arial Unicode MS" w:hAnsi="Arial" w:cs="Arial"/>
          <w:kern w:val="0"/>
          <w:sz w:val="24"/>
          <w:szCs w:val="24"/>
          <w:lang w:val="en-US"/>
          <w14:ligatures w14:val="none"/>
        </w:rPr>
        <w:t>competencies,</w:t>
      </w:r>
      <w:r w:rsidRPr="00512CEC">
        <w:rPr>
          <w:rFonts w:ascii="Arial" w:eastAsia="Arial Unicode MS" w:hAnsi="Arial" w:cs="Arial"/>
          <w:kern w:val="0"/>
          <w:sz w:val="24"/>
          <w:szCs w:val="24"/>
          <w:lang w:val="en-US"/>
          <w14:ligatures w14:val="none"/>
        </w:rPr>
        <w:t xml:space="preserve"> or an agreement signed off by their trainers.</w:t>
      </w:r>
    </w:p>
    <w:p w14:paraId="6FFA758F" w14:textId="77777777" w:rsidR="00512CEC" w:rsidRPr="00512CEC" w:rsidRDefault="00512CEC" w:rsidP="00512CEC">
      <w:pPr>
        <w:numPr>
          <w:ilvl w:val="0"/>
          <w:numId w:val="1"/>
        </w:num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lastRenderedPageBreak/>
        <w:t>Even if the RD has achieved competencies for IR, if there is any uncertainty around a case the RD should have a low threshold for requesting an opinion from the supervising consultant. If the supervising consultant decides to take over the case it should not be counted towards IR.</w:t>
      </w:r>
    </w:p>
    <w:p w14:paraId="767CD958" w14:textId="1DA4EDA1" w:rsidR="00512CEC" w:rsidRPr="00512CEC" w:rsidRDefault="00512CEC" w:rsidP="00512CEC">
      <w:pPr>
        <w:numPr>
          <w:ilvl w:val="0"/>
          <w:numId w:val="1"/>
        </w:num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 xml:space="preserve">RDs should not be forced to independently report any case that </w:t>
      </w:r>
      <w:r w:rsidR="00021798" w:rsidRPr="00512CEC">
        <w:rPr>
          <w:rFonts w:ascii="Arial" w:eastAsia="Arial Unicode MS" w:hAnsi="Arial" w:cs="Arial"/>
          <w:kern w:val="0"/>
          <w:sz w:val="24"/>
          <w:szCs w:val="24"/>
          <w:lang w:val="en-US"/>
          <w14:ligatures w14:val="none"/>
        </w:rPr>
        <w:t>requires</w:t>
      </w:r>
      <w:r w:rsidRPr="00512CEC">
        <w:rPr>
          <w:rFonts w:ascii="Arial" w:eastAsia="Arial Unicode MS" w:hAnsi="Arial" w:cs="Arial"/>
          <w:kern w:val="0"/>
          <w:sz w:val="24"/>
          <w:szCs w:val="24"/>
          <w:lang w:val="en-US"/>
          <w14:ligatures w14:val="none"/>
        </w:rPr>
        <w:t xml:space="preserve"> further opinion(s</w:t>
      </w:r>
      <w:proofErr w:type="gramStart"/>
      <w:r w:rsidRPr="00512CEC">
        <w:rPr>
          <w:rFonts w:ascii="Arial" w:eastAsia="Arial Unicode MS" w:hAnsi="Arial" w:cs="Arial"/>
          <w:kern w:val="0"/>
          <w:sz w:val="24"/>
          <w:szCs w:val="24"/>
          <w:lang w:val="en-US"/>
          <w14:ligatures w14:val="none"/>
        </w:rPr>
        <w:t>)</w:t>
      </w:r>
      <w:proofErr w:type="gramEnd"/>
      <w:r w:rsidRPr="00512CEC">
        <w:rPr>
          <w:rFonts w:ascii="Arial" w:eastAsia="Arial Unicode MS" w:hAnsi="Arial" w:cs="Arial"/>
          <w:kern w:val="0"/>
          <w:sz w:val="24"/>
          <w:szCs w:val="24"/>
          <w:lang w:val="en-US"/>
          <w14:ligatures w14:val="none"/>
        </w:rPr>
        <w:t xml:space="preserve"> or they are not confident to report. </w:t>
      </w:r>
    </w:p>
    <w:p w14:paraId="2EAB027A" w14:textId="462F28BA" w:rsidR="00512CEC" w:rsidRPr="00512CEC" w:rsidRDefault="00512CEC" w:rsidP="00512CEC">
      <w:pPr>
        <w:numPr>
          <w:ilvl w:val="0"/>
          <w:numId w:val="1"/>
        </w:num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 xml:space="preserve">RDs should only expected to undertake IR that is part of their PDP and or a requirement of the curriculum. RD IR competencies should not be used </w:t>
      </w:r>
      <w:proofErr w:type="gramStart"/>
      <w:r w:rsidR="00021798">
        <w:rPr>
          <w:rFonts w:ascii="Arial" w:eastAsia="Arial Unicode MS" w:hAnsi="Arial" w:cs="Arial"/>
          <w:kern w:val="0"/>
          <w:sz w:val="24"/>
          <w:szCs w:val="24"/>
          <w:lang w:val="en-US"/>
          <w14:ligatures w14:val="none"/>
        </w:rPr>
        <w:t>as a means to</w:t>
      </w:r>
      <w:proofErr w:type="gramEnd"/>
      <w:r w:rsidR="00021798">
        <w:rPr>
          <w:rFonts w:ascii="Arial" w:eastAsia="Arial Unicode MS" w:hAnsi="Arial" w:cs="Arial"/>
          <w:kern w:val="0"/>
          <w:sz w:val="24"/>
          <w:szCs w:val="24"/>
          <w:lang w:val="en-US"/>
          <w14:ligatures w14:val="none"/>
        </w:rPr>
        <w:t xml:space="preserve"> </w:t>
      </w:r>
      <w:r w:rsidRPr="00512CEC">
        <w:rPr>
          <w:rFonts w:ascii="Arial" w:eastAsia="Arial Unicode MS" w:hAnsi="Arial" w:cs="Arial"/>
          <w:kern w:val="0"/>
          <w:sz w:val="24"/>
          <w:szCs w:val="24"/>
          <w:lang w:val="en-US"/>
          <w14:ligatures w14:val="none"/>
        </w:rPr>
        <w:t>clear any department backlogs.</w:t>
      </w:r>
    </w:p>
    <w:p w14:paraId="718ABF62" w14:textId="6D6E020B" w:rsidR="00512CEC" w:rsidRPr="00512CEC" w:rsidRDefault="00512CEC" w:rsidP="00512CEC">
      <w:pPr>
        <w:numPr>
          <w:ilvl w:val="0"/>
          <w:numId w:val="1"/>
        </w:num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 xml:space="preserve">The Educational Supervisors Structured Report (ESSR) should include a section on IR to confirm engagement with pathway for IR, competency levels achieved and any </w:t>
      </w:r>
      <w:r w:rsidR="00021798">
        <w:rPr>
          <w:rFonts w:ascii="Arial" w:eastAsia="Arial Unicode MS" w:hAnsi="Arial" w:cs="Arial"/>
          <w:kern w:val="0"/>
          <w:sz w:val="24"/>
          <w:szCs w:val="24"/>
          <w:lang w:val="en-US"/>
          <w14:ligatures w14:val="none"/>
        </w:rPr>
        <w:t>I</w:t>
      </w:r>
      <w:r w:rsidRPr="00512CEC">
        <w:rPr>
          <w:rFonts w:ascii="Arial" w:eastAsia="Arial Unicode MS" w:hAnsi="Arial" w:cs="Arial"/>
          <w:kern w:val="0"/>
          <w:sz w:val="24"/>
          <w:szCs w:val="24"/>
          <w:lang w:val="en-US"/>
          <w14:ligatures w14:val="none"/>
        </w:rPr>
        <w:t>R.</w:t>
      </w:r>
    </w:p>
    <w:p w14:paraId="72DD143A" w14:textId="3A8E712D" w:rsidR="00512CEC" w:rsidRPr="00512CEC" w:rsidRDefault="00021798" w:rsidP="00512CEC">
      <w:pPr>
        <w:numPr>
          <w:ilvl w:val="0"/>
          <w:numId w:val="1"/>
        </w:num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To</w:t>
      </w:r>
      <w:r w:rsidR="00512CEC" w:rsidRPr="00512CEC">
        <w:rPr>
          <w:rFonts w:ascii="Arial" w:eastAsia="Arial Unicode MS" w:hAnsi="Arial" w:cs="Arial"/>
          <w:kern w:val="0"/>
          <w:sz w:val="24"/>
          <w:szCs w:val="24"/>
          <w:lang w:val="en-US"/>
          <w14:ligatures w14:val="none"/>
        </w:rPr>
        <w:t xml:space="preserve"> maintain continuity, when starting a new placement within the same training region, it is essential that a ‘Transfer of Educational Plan” for IR is included in the final AOP or the ESSR at the end of the placement. </w:t>
      </w:r>
    </w:p>
    <w:p w14:paraId="265DD834" w14:textId="77777777" w:rsidR="00512CEC" w:rsidRPr="00512CEC" w:rsidRDefault="00512CEC" w:rsidP="00512CEC">
      <w:pPr>
        <w:numPr>
          <w:ilvl w:val="0"/>
          <w:numId w:val="1"/>
        </w:num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While there are no specific IR targets for ARCP progression at present, all RD are expected to demonstrate engagement with the IR pathway as a minimum. The IR portfolio and ESSR comments will be used as evidence for the same.</w:t>
      </w:r>
    </w:p>
    <w:p w14:paraId="793C025A" w14:textId="77777777" w:rsidR="00512CEC" w:rsidRPr="00512CEC" w:rsidRDefault="00512CEC" w:rsidP="00512CEC">
      <w:pPr>
        <w:numPr>
          <w:ilvl w:val="0"/>
          <w:numId w:val="1"/>
        </w:num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 xml:space="preserve">Audit: Governance protocols are in place to monitor and minimise independent reporting errors. 10-20% is the indicative percentage of post sign-off independently reported cases to audit. </w:t>
      </w:r>
    </w:p>
    <w:p w14:paraId="0E333122" w14:textId="77777777" w:rsidR="00512CEC" w:rsidRPr="00512CEC" w:rsidRDefault="00512CEC" w:rsidP="00512CEC">
      <w:pPr>
        <w:numPr>
          <w:ilvl w:val="0"/>
          <w:numId w:val="1"/>
        </w:num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Each case in the audit should be assessed and categorised as follows:</w:t>
      </w:r>
    </w:p>
    <w:p w14:paraId="5CF09155" w14:textId="77777777" w:rsidR="00512CEC" w:rsidRPr="00512CEC" w:rsidRDefault="00512CEC" w:rsidP="00512CEC">
      <w:pPr>
        <w:spacing w:before="120" w:after="120" w:line="240" w:lineRule="auto"/>
        <w:ind w:left="1080"/>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 No cause for concern</w:t>
      </w:r>
    </w:p>
    <w:p w14:paraId="14045BA0" w14:textId="77777777" w:rsidR="00512CEC" w:rsidRPr="00512CEC" w:rsidRDefault="00512CEC" w:rsidP="00512CEC">
      <w:pPr>
        <w:spacing w:before="120" w:after="120" w:line="240" w:lineRule="auto"/>
        <w:ind w:left="1080"/>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 Minor diagnostic error or oversight, unlikely to have affected clinical outcome and/or management</w:t>
      </w:r>
    </w:p>
    <w:p w14:paraId="063BB244" w14:textId="77777777" w:rsidR="00512CEC" w:rsidRPr="00512CEC" w:rsidRDefault="00512CEC" w:rsidP="00512CEC">
      <w:pPr>
        <w:spacing w:before="120" w:after="120" w:line="240" w:lineRule="auto"/>
        <w:ind w:left="1080"/>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 Major diagnostic error or oversight, likely to have affected clinical outcome and/or management (e.g. benign/malignant discrepancy)</w:t>
      </w:r>
    </w:p>
    <w:p w14:paraId="3B328377" w14:textId="77777777" w:rsidR="00512CEC" w:rsidRPr="00512CEC" w:rsidRDefault="00512CEC" w:rsidP="00512CEC">
      <w:pPr>
        <w:numPr>
          <w:ilvl w:val="0"/>
          <w:numId w:val="1"/>
        </w:num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 xml:space="preserve">If a significant error is detected, the case will be shown to the trainee for feedback and learning. Appropriate clinical governance procedures including formal incident reporting should be undertaken with the guidance and support of the supervising consultant. A review of previously independent reported cases should also be considered. </w:t>
      </w:r>
    </w:p>
    <w:p w14:paraId="1BEA3EE1" w14:textId="77777777" w:rsidR="00512CEC" w:rsidRPr="00512CEC" w:rsidRDefault="00512CEC" w:rsidP="00512CEC">
      <w:pPr>
        <w:numPr>
          <w:ilvl w:val="0"/>
          <w:numId w:val="1"/>
        </w:num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lastRenderedPageBreak/>
        <w:t xml:space="preserve">The results of the audit review should be submitted for the subsequent ARCP assessment. Any major or significant errors/oversights may prevent that trainee progressing to the next level of competencies for IR. Any minor errors or oversights can be discussed at </w:t>
      </w:r>
      <w:proofErr w:type="gramStart"/>
      <w:r w:rsidRPr="00512CEC">
        <w:rPr>
          <w:rFonts w:ascii="Arial" w:eastAsia="Arial Unicode MS" w:hAnsi="Arial" w:cs="Arial"/>
          <w:kern w:val="0"/>
          <w:sz w:val="24"/>
          <w:szCs w:val="24"/>
          <w:lang w:val="en-US"/>
          <w14:ligatures w14:val="none"/>
        </w:rPr>
        <w:t>ARCP</w:t>
      </w:r>
      <w:proofErr w:type="gramEnd"/>
      <w:r w:rsidRPr="00512CEC">
        <w:rPr>
          <w:rFonts w:ascii="Arial" w:eastAsia="Arial Unicode MS" w:hAnsi="Arial" w:cs="Arial"/>
          <w:kern w:val="0"/>
          <w:sz w:val="24"/>
          <w:szCs w:val="24"/>
          <w:lang w:val="en-US"/>
          <w14:ligatures w14:val="none"/>
        </w:rPr>
        <w:t xml:space="preserve"> and the panel will decide if progress to the next level of competencies for IR is appropriate.</w:t>
      </w:r>
    </w:p>
    <w:p w14:paraId="047AFEA1" w14:textId="77777777" w:rsidR="00512CEC" w:rsidRPr="00512CEC" w:rsidRDefault="00512CEC" w:rsidP="00512CEC">
      <w:pPr>
        <w:numPr>
          <w:ilvl w:val="0"/>
          <w:numId w:val="1"/>
        </w:num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 xml:space="preserve">As the trainee gradually builds up their portfolio of cases </w:t>
      </w:r>
      <w:proofErr w:type="gramStart"/>
      <w:r w:rsidRPr="00512CEC">
        <w:rPr>
          <w:rFonts w:ascii="Arial" w:eastAsia="Arial Unicode MS" w:hAnsi="Arial" w:cs="Arial"/>
          <w:kern w:val="0"/>
          <w:sz w:val="24"/>
          <w:szCs w:val="24"/>
          <w:lang w:val="en-US"/>
          <w14:ligatures w14:val="none"/>
        </w:rPr>
        <w:t>for</w:t>
      </w:r>
      <w:proofErr w:type="gramEnd"/>
      <w:r w:rsidRPr="00512CEC">
        <w:rPr>
          <w:rFonts w:ascii="Arial" w:eastAsia="Arial Unicode MS" w:hAnsi="Arial" w:cs="Arial"/>
          <w:kern w:val="0"/>
          <w:sz w:val="24"/>
          <w:szCs w:val="24"/>
          <w:lang w:val="en-US"/>
          <w14:ligatures w14:val="none"/>
        </w:rPr>
        <w:t xml:space="preserve"> sign off, Consultants will be supervising and auditing the trainee’s work. It is therefore essential that Supervising </w:t>
      </w:r>
      <w:proofErr w:type="gramStart"/>
      <w:r w:rsidRPr="00512CEC">
        <w:rPr>
          <w:rFonts w:ascii="Arial" w:eastAsia="Arial Unicode MS" w:hAnsi="Arial" w:cs="Arial"/>
          <w:kern w:val="0"/>
          <w:sz w:val="24"/>
          <w:szCs w:val="24"/>
          <w:lang w:val="en-US"/>
          <w14:ligatures w14:val="none"/>
        </w:rPr>
        <w:t>Consultants</w:t>
      </w:r>
      <w:proofErr w:type="gramEnd"/>
      <w:r w:rsidRPr="00512CEC">
        <w:rPr>
          <w:rFonts w:ascii="Arial" w:eastAsia="Arial Unicode MS" w:hAnsi="Arial" w:cs="Arial"/>
          <w:kern w:val="0"/>
          <w:sz w:val="24"/>
          <w:szCs w:val="24"/>
          <w:lang w:val="en-US"/>
          <w14:ligatures w14:val="none"/>
        </w:rPr>
        <w:t xml:space="preserve"> including both CS and </w:t>
      </w:r>
      <w:proofErr w:type="gramStart"/>
      <w:r w:rsidRPr="00512CEC">
        <w:rPr>
          <w:rFonts w:ascii="Arial" w:eastAsia="Arial Unicode MS" w:hAnsi="Arial" w:cs="Arial"/>
          <w:kern w:val="0"/>
          <w:sz w:val="24"/>
          <w:szCs w:val="24"/>
          <w:lang w:val="en-US"/>
          <w14:ligatures w14:val="none"/>
        </w:rPr>
        <w:t>ES</w:t>
      </w:r>
      <w:proofErr w:type="gramEnd"/>
      <w:r w:rsidRPr="00512CEC">
        <w:rPr>
          <w:rFonts w:ascii="Arial" w:eastAsia="Arial Unicode MS" w:hAnsi="Arial" w:cs="Arial"/>
          <w:kern w:val="0"/>
          <w:sz w:val="24"/>
          <w:szCs w:val="24"/>
          <w:lang w:val="en-US"/>
          <w14:ligatures w14:val="none"/>
        </w:rPr>
        <w:t xml:space="preserve"> have sessional time allocated for these activities.  </w:t>
      </w:r>
    </w:p>
    <w:p w14:paraId="7D872580" w14:textId="77777777" w:rsidR="00512CEC" w:rsidRPr="00512CEC" w:rsidRDefault="00512CEC" w:rsidP="00512CEC">
      <w:pPr>
        <w:numPr>
          <w:ilvl w:val="0"/>
          <w:numId w:val="1"/>
        </w:num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At the end of the attachment the trainee should audit their own cases with respect to number, type, errors, amended reports and turnaround time. This will form part of the general assessment and should also be kept as independent evidence in the trainee’s portfolio.</w:t>
      </w:r>
    </w:p>
    <w:p w14:paraId="44B6967C" w14:textId="517FE7C0" w:rsidR="00512CEC" w:rsidRPr="00512CEC" w:rsidRDefault="00512CEC" w:rsidP="00512CEC">
      <w:pPr>
        <w:numPr>
          <w:ilvl w:val="0"/>
          <w:numId w:val="1"/>
        </w:num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 xml:space="preserve">If any cases are deemed unsuitable for </w:t>
      </w:r>
      <w:r w:rsidR="00FE0AA0">
        <w:rPr>
          <w:rFonts w:ascii="Arial" w:eastAsia="Arial Unicode MS" w:hAnsi="Arial" w:cs="Arial"/>
          <w:kern w:val="0"/>
          <w:sz w:val="24"/>
          <w:szCs w:val="24"/>
          <w:lang w:val="en-US"/>
          <w14:ligatures w14:val="none"/>
        </w:rPr>
        <w:t>I</w:t>
      </w:r>
      <w:r w:rsidRPr="00512CEC">
        <w:rPr>
          <w:rFonts w:ascii="Arial" w:eastAsia="Arial Unicode MS" w:hAnsi="Arial" w:cs="Arial"/>
          <w:kern w:val="0"/>
          <w:sz w:val="24"/>
          <w:szCs w:val="24"/>
          <w:lang w:val="en-US"/>
          <w14:ligatures w14:val="none"/>
        </w:rPr>
        <w:t>R this should be stated clearly by the Specialty lead (SL) at the start of the placement.</w:t>
      </w:r>
    </w:p>
    <w:p w14:paraId="2BB7FDF9" w14:textId="77777777" w:rsidR="00512CEC" w:rsidRPr="00512CEC" w:rsidRDefault="00512CEC" w:rsidP="00512CEC">
      <w:pPr>
        <w:keepNext/>
        <w:spacing w:before="240" w:after="120" w:line="240" w:lineRule="auto"/>
        <w:outlineLvl w:val="0"/>
        <w:rPr>
          <w:rFonts w:ascii="Arial" w:eastAsia="Times New Roman" w:hAnsi="Arial" w:cs="Arial"/>
          <w:b/>
          <w:kern w:val="0"/>
          <w:sz w:val="24"/>
          <w:szCs w:val="20"/>
          <w:u w:val="single"/>
          <w:lang w:val="en-US"/>
          <w14:ligatures w14:val="none"/>
        </w:rPr>
      </w:pPr>
      <w:bookmarkStart w:id="5" w:name="_Toc23145903"/>
    </w:p>
    <w:p w14:paraId="5634712D" w14:textId="77777777" w:rsidR="00512CEC" w:rsidRDefault="00512CEC" w:rsidP="00512CEC">
      <w:pPr>
        <w:keepNext/>
        <w:spacing w:before="240" w:after="120" w:line="240" w:lineRule="auto"/>
        <w:outlineLvl w:val="0"/>
        <w:rPr>
          <w:rFonts w:ascii="Arial" w:eastAsia="Times New Roman" w:hAnsi="Arial" w:cs="Arial"/>
          <w:b/>
          <w:kern w:val="0"/>
          <w:sz w:val="24"/>
          <w:szCs w:val="20"/>
          <w:u w:val="single"/>
          <w:lang w:val="en-US"/>
          <w14:ligatures w14:val="none"/>
        </w:rPr>
      </w:pPr>
      <w:r w:rsidRPr="00512CEC">
        <w:rPr>
          <w:rFonts w:ascii="Arial" w:eastAsia="Times New Roman" w:hAnsi="Arial" w:cs="Arial"/>
          <w:b/>
          <w:kern w:val="0"/>
          <w:sz w:val="24"/>
          <w:szCs w:val="20"/>
          <w:u w:val="single"/>
          <w:lang w:val="en-US"/>
          <w14:ligatures w14:val="none"/>
        </w:rPr>
        <w:t>6 Roles and responsibilities</w:t>
      </w:r>
      <w:bookmarkEnd w:id="5"/>
    </w:p>
    <w:p w14:paraId="18B3437A" w14:textId="77777777" w:rsidR="008B67F7" w:rsidRPr="00512CEC" w:rsidRDefault="008B67F7" w:rsidP="00512CEC">
      <w:pPr>
        <w:keepNext/>
        <w:spacing w:before="240" w:after="120" w:line="240" w:lineRule="auto"/>
        <w:outlineLvl w:val="0"/>
        <w:rPr>
          <w:rFonts w:ascii="Arial" w:eastAsia="Times New Roman" w:hAnsi="Arial" w:cs="Arial"/>
          <w:b/>
          <w:kern w:val="0"/>
          <w:sz w:val="24"/>
          <w:szCs w:val="20"/>
          <w:u w:val="single"/>
          <w:lang w:val="en-US"/>
          <w14:ligatures w14:val="none"/>
        </w:rPr>
      </w:pPr>
    </w:p>
    <w:tbl>
      <w:tblPr>
        <w:tblW w:w="104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804"/>
      </w:tblGrid>
      <w:tr w:rsidR="00512CEC" w:rsidRPr="00512CEC" w14:paraId="08F68DD4" w14:textId="77777777" w:rsidTr="00021798">
        <w:trPr>
          <w:trHeight w:val="472"/>
        </w:trPr>
        <w:tc>
          <w:tcPr>
            <w:tcW w:w="3652" w:type="dxa"/>
            <w:tcBorders>
              <w:top w:val="single" w:sz="4" w:space="0" w:color="auto"/>
              <w:left w:val="single" w:sz="4" w:space="0" w:color="auto"/>
              <w:bottom w:val="single" w:sz="4" w:space="0" w:color="auto"/>
              <w:right w:val="single" w:sz="4" w:space="0" w:color="auto"/>
            </w:tcBorders>
            <w:shd w:val="clear" w:color="auto" w:fill="F2F2F2"/>
            <w:hideMark/>
          </w:tcPr>
          <w:p w14:paraId="34E6A244" w14:textId="77777777" w:rsidR="00512CEC" w:rsidRPr="00512CEC" w:rsidRDefault="00512CEC" w:rsidP="00512CEC">
            <w:pPr>
              <w:autoSpaceDE w:val="0"/>
              <w:autoSpaceDN w:val="0"/>
              <w:adjustRightInd w:val="0"/>
              <w:spacing w:before="20" w:after="20" w:line="276" w:lineRule="auto"/>
              <w:rPr>
                <w:rFonts w:ascii="Arial" w:eastAsia="Arial Unicode MS" w:hAnsi="Arial" w:cs="Arial"/>
                <w:b/>
                <w:bCs/>
                <w:kern w:val="0"/>
                <w:sz w:val="24"/>
                <w:lang w:val="en-US"/>
                <w14:ligatures w14:val="none"/>
              </w:rPr>
            </w:pPr>
            <w:r w:rsidRPr="00512CEC">
              <w:rPr>
                <w:rFonts w:ascii="Arial" w:eastAsia="Arial Unicode MS" w:hAnsi="Arial" w:cs="Arial"/>
                <w:b/>
                <w:bCs/>
                <w:kern w:val="0"/>
                <w:sz w:val="24"/>
                <w:lang w:val="en-US"/>
                <w14:ligatures w14:val="none"/>
              </w:rPr>
              <w:t>Responsibility</w:t>
            </w:r>
          </w:p>
        </w:tc>
        <w:tc>
          <w:tcPr>
            <w:tcW w:w="6804" w:type="dxa"/>
            <w:tcBorders>
              <w:top w:val="single" w:sz="4" w:space="0" w:color="auto"/>
              <w:left w:val="single" w:sz="4" w:space="0" w:color="auto"/>
              <w:bottom w:val="single" w:sz="4" w:space="0" w:color="auto"/>
              <w:right w:val="single" w:sz="4" w:space="0" w:color="auto"/>
            </w:tcBorders>
            <w:shd w:val="clear" w:color="auto" w:fill="F2F2F2"/>
            <w:hideMark/>
          </w:tcPr>
          <w:p w14:paraId="0EEBD928" w14:textId="77777777" w:rsidR="00512CEC" w:rsidRPr="00512CEC" w:rsidRDefault="00512CEC" w:rsidP="00512CEC">
            <w:pPr>
              <w:autoSpaceDE w:val="0"/>
              <w:autoSpaceDN w:val="0"/>
              <w:adjustRightInd w:val="0"/>
              <w:spacing w:before="20" w:after="20" w:line="276" w:lineRule="auto"/>
              <w:rPr>
                <w:rFonts w:ascii="Arial" w:eastAsia="Arial Unicode MS" w:hAnsi="Arial" w:cs="Arial"/>
                <w:b/>
                <w:bCs/>
                <w:kern w:val="0"/>
                <w:sz w:val="24"/>
                <w:lang w:val="en-US"/>
                <w14:ligatures w14:val="none"/>
              </w:rPr>
            </w:pPr>
            <w:r w:rsidRPr="00512CEC">
              <w:rPr>
                <w:rFonts w:ascii="Arial" w:eastAsia="Arial Unicode MS" w:hAnsi="Arial" w:cs="Arial"/>
                <w:b/>
                <w:bCs/>
                <w:kern w:val="0"/>
                <w:sz w:val="24"/>
                <w:lang w:val="en-US"/>
                <w14:ligatures w14:val="none"/>
              </w:rPr>
              <w:t>Description of role</w:t>
            </w:r>
          </w:p>
        </w:tc>
      </w:tr>
      <w:tr w:rsidR="00512CEC" w:rsidRPr="00512CEC" w14:paraId="273DF118" w14:textId="77777777" w:rsidTr="00021798">
        <w:trPr>
          <w:trHeight w:val="435"/>
        </w:trPr>
        <w:tc>
          <w:tcPr>
            <w:tcW w:w="3652" w:type="dxa"/>
            <w:tcBorders>
              <w:top w:val="single" w:sz="4" w:space="0" w:color="auto"/>
              <w:left w:val="single" w:sz="4" w:space="0" w:color="auto"/>
              <w:bottom w:val="single" w:sz="4" w:space="0" w:color="auto"/>
              <w:right w:val="single" w:sz="4" w:space="0" w:color="auto"/>
            </w:tcBorders>
            <w:hideMark/>
          </w:tcPr>
          <w:p w14:paraId="75ABBDA0" w14:textId="77777777" w:rsidR="00512CEC" w:rsidRPr="00512CEC" w:rsidRDefault="00512CEC" w:rsidP="00512CEC">
            <w:pPr>
              <w:autoSpaceDE w:val="0"/>
              <w:autoSpaceDN w:val="0"/>
              <w:adjustRightInd w:val="0"/>
              <w:spacing w:before="20" w:after="20" w:line="276"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Histopathology RD</w:t>
            </w:r>
          </w:p>
        </w:tc>
        <w:tc>
          <w:tcPr>
            <w:tcW w:w="6804" w:type="dxa"/>
            <w:tcBorders>
              <w:top w:val="single" w:sz="4" w:space="0" w:color="auto"/>
              <w:left w:val="single" w:sz="4" w:space="0" w:color="auto"/>
              <w:bottom w:val="single" w:sz="4" w:space="0" w:color="auto"/>
              <w:right w:val="single" w:sz="4" w:space="0" w:color="auto"/>
            </w:tcBorders>
            <w:hideMark/>
          </w:tcPr>
          <w:p w14:paraId="5896AB7E" w14:textId="77777777" w:rsidR="00512CEC" w:rsidRPr="00512CEC" w:rsidRDefault="00512CEC" w:rsidP="00512CEC">
            <w:pPr>
              <w:autoSpaceDE w:val="0"/>
              <w:autoSpaceDN w:val="0"/>
              <w:adjustRightInd w:val="0"/>
              <w:spacing w:before="20" w:after="20" w:line="276"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Perform independent reporting</w:t>
            </w:r>
          </w:p>
        </w:tc>
      </w:tr>
      <w:tr w:rsidR="00512CEC" w:rsidRPr="00512CEC" w14:paraId="5602257F" w14:textId="77777777" w:rsidTr="00021798">
        <w:trPr>
          <w:trHeight w:val="413"/>
        </w:trPr>
        <w:tc>
          <w:tcPr>
            <w:tcW w:w="3652" w:type="dxa"/>
            <w:tcBorders>
              <w:top w:val="single" w:sz="4" w:space="0" w:color="auto"/>
              <w:left w:val="single" w:sz="4" w:space="0" w:color="auto"/>
              <w:bottom w:val="single" w:sz="4" w:space="0" w:color="auto"/>
              <w:right w:val="single" w:sz="4" w:space="0" w:color="auto"/>
            </w:tcBorders>
            <w:hideMark/>
          </w:tcPr>
          <w:p w14:paraId="0E56E3EA" w14:textId="77777777" w:rsidR="00512CEC" w:rsidRPr="00512CEC" w:rsidRDefault="00512CEC" w:rsidP="00512CEC">
            <w:pPr>
              <w:autoSpaceDE w:val="0"/>
              <w:autoSpaceDN w:val="0"/>
              <w:adjustRightInd w:val="0"/>
              <w:spacing w:before="20" w:after="20" w:line="276"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 xml:space="preserve">Specialty </w:t>
            </w:r>
            <w:proofErr w:type="gramStart"/>
            <w:r w:rsidRPr="00512CEC">
              <w:rPr>
                <w:rFonts w:ascii="Arial" w:eastAsia="Arial Unicode MS" w:hAnsi="Arial" w:cs="Arial"/>
                <w:kern w:val="0"/>
                <w:sz w:val="24"/>
                <w:szCs w:val="24"/>
                <w:lang w:val="en-US"/>
                <w14:ligatures w14:val="none"/>
              </w:rPr>
              <w:t>Lead</w:t>
            </w:r>
            <w:proofErr w:type="gramEnd"/>
            <w:r w:rsidRPr="00512CEC">
              <w:rPr>
                <w:rFonts w:ascii="Arial" w:eastAsia="Arial Unicode MS" w:hAnsi="Arial" w:cs="Arial"/>
                <w:kern w:val="0"/>
                <w:sz w:val="24"/>
                <w:szCs w:val="24"/>
                <w:lang w:val="en-US"/>
                <w14:ligatures w14:val="none"/>
              </w:rPr>
              <w:t xml:space="preserve"> (SL)</w:t>
            </w:r>
          </w:p>
        </w:tc>
        <w:tc>
          <w:tcPr>
            <w:tcW w:w="6804" w:type="dxa"/>
            <w:tcBorders>
              <w:top w:val="single" w:sz="4" w:space="0" w:color="auto"/>
              <w:left w:val="single" w:sz="4" w:space="0" w:color="auto"/>
              <w:bottom w:val="single" w:sz="4" w:space="0" w:color="auto"/>
              <w:right w:val="single" w:sz="4" w:space="0" w:color="auto"/>
            </w:tcBorders>
            <w:hideMark/>
          </w:tcPr>
          <w:p w14:paraId="36723258" w14:textId="77777777" w:rsidR="00512CEC" w:rsidRPr="00512CEC" w:rsidRDefault="00512CEC" w:rsidP="00512CEC">
            <w:pPr>
              <w:autoSpaceDE w:val="0"/>
              <w:autoSpaceDN w:val="0"/>
              <w:adjustRightInd w:val="0"/>
              <w:spacing w:before="20" w:after="20" w:line="276"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Supervise and provide support &amp; training</w:t>
            </w:r>
          </w:p>
        </w:tc>
      </w:tr>
      <w:tr w:rsidR="00512CEC" w:rsidRPr="00512CEC" w14:paraId="2E5F1FEB" w14:textId="77777777" w:rsidTr="00021798">
        <w:trPr>
          <w:trHeight w:val="419"/>
        </w:trPr>
        <w:tc>
          <w:tcPr>
            <w:tcW w:w="3652" w:type="dxa"/>
            <w:tcBorders>
              <w:top w:val="single" w:sz="4" w:space="0" w:color="auto"/>
              <w:left w:val="single" w:sz="4" w:space="0" w:color="auto"/>
              <w:bottom w:val="single" w:sz="4" w:space="0" w:color="auto"/>
              <w:right w:val="single" w:sz="4" w:space="0" w:color="auto"/>
            </w:tcBorders>
            <w:hideMark/>
          </w:tcPr>
          <w:p w14:paraId="2B655693" w14:textId="77777777" w:rsidR="00512CEC" w:rsidRPr="00512CEC" w:rsidRDefault="00512CEC" w:rsidP="00512CEC">
            <w:pPr>
              <w:autoSpaceDE w:val="0"/>
              <w:autoSpaceDN w:val="0"/>
              <w:adjustRightInd w:val="0"/>
              <w:spacing w:before="20" w:after="20" w:line="276"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ES and CS</w:t>
            </w:r>
          </w:p>
        </w:tc>
        <w:tc>
          <w:tcPr>
            <w:tcW w:w="6804" w:type="dxa"/>
            <w:tcBorders>
              <w:top w:val="single" w:sz="4" w:space="0" w:color="auto"/>
              <w:left w:val="single" w:sz="4" w:space="0" w:color="auto"/>
              <w:bottom w:val="single" w:sz="4" w:space="0" w:color="auto"/>
              <w:right w:val="single" w:sz="4" w:space="0" w:color="auto"/>
            </w:tcBorders>
            <w:hideMark/>
          </w:tcPr>
          <w:p w14:paraId="69B70C48" w14:textId="77777777" w:rsidR="00512CEC" w:rsidRPr="00512CEC" w:rsidRDefault="00512CEC" w:rsidP="00512CEC">
            <w:pPr>
              <w:autoSpaceDE w:val="0"/>
              <w:autoSpaceDN w:val="0"/>
              <w:adjustRightInd w:val="0"/>
              <w:spacing w:before="20" w:after="20" w:line="276"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Supervise and provide support &amp; training</w:t>
            </w:r>
          </w:p>
        </w:tc>
      </w:tr>
    </w:tbl>
    <w:p w14:paraId="04D7FAEA" w14:textId="77777777" w:rsidR="00D17373" w:rsidRDefault="00D17373" w:rsidP="00512CEC">
      <w:pPr>
        <w:keepNext/>
        <w:spacing w:before="240" w:after="120" w:line="240" w:lineRule="auto"/>
        <w:outlineLvl w:val="0"/>
        <w:rPr>
          <w:rFonts w:ascii="Arial" w:eastAsia="Times New Roman" w:hAnsi="Arial" w:cs="Arial"/>
          <w:b/>
          <w:kern w:val="0"/>
          <w:sz w:val="24"/>
          <w:szCs w:val="20"/>
          <w:u w:val="single"/>
          <w14:ligatures w14:val="none"/>
        </w:rPr>
      </w:pPr>
      <w:bookmarkStart w:id="6" w:name="_Toc23145904"/>
    </w:p>
    <w:p w14:paraId="56D14615" w14:textId="77777777" w:rsidR="00D17373" w:rsidRDefault="00D17373" w:rsidP="00512CEC">
      <w:pPr>
        <w:keepNext/>
        <w:spacing w:before="240" w:after="120" w:line="240" w:lineRule="auto"/>
        <w:outlineLvl w:val="0"/>
        <w:rPr>
          <w:rFonts w:ascii="Arial" w:eastAsia="Times New Roman" w:hAnsi="Arial" w:cs="Arial"/>
          <w:b/>
          <w:kern w:val="0"/>
          <w:sz w:val="24"/>
          <w:szCs w:val="20"/>
          <w:u w:val="single"/>
          <w14:ligatures w14:val="none"/>
        </w:rPr>
      </w:pPr>
    </w:p>
    <w:p w14:paraId="23E94A13" w14:textId="6CC18326" w:rsidR="00512CEC" w:rsidRPr="00512CEC" w:rsidRDefault="00512CEC" w:rsidP="00512CEC">
      <w:pPr>
        <w:keepNext/>
        <w:spacing w:before="240" w:after="120" w:line="240" w:lineRule="auto"/>
        <w:outlineLvl w:val="0"/>
        <w:rPr>
          <w:rFonts w:ascii="Arial" w:eastAsia="Times New Roman" w:hAnsi="Arial" w:cs="Arial"/>
          <w:b/>
          <w:kern w:val="0"/>
          <w:sz w:val="24"/>
          <w:szCs w:val="20"/>
          <w:u w:val="single"/>
          <w14:ligatures w14:val="none"/>
        </w:rPr>
      </w:pPr>
      <w:r w:rsidRPr="00512CEC">
        <w:rPr>
          <w:rFonts w:ascii="Arial" w:eastAsia="Times New Roman" w:hAnsi="Arial" w:cs="Arial"/>
          <w:b/>
          <w:kern w:val="0"/>
          <w:sz w:val="24"/>
          <w:szCs w:val="20"/>
          <w:u w:val="single"/>
          <w14:ligatures w14:val="none"/>
        </w:rPr>
        <w:t>7 Training Requirements</w:t>
      </w:r>
      <w:bookmarkEnd w:id="6"/>
    </w:p>
    <w:p w14:paraId="47CB8E39" w14:textId="77777777" w:rsidR="00512CEC" w:rsidRPr="00512CEC" w:rsidRDefault="00512CEC" w:rsidP="00512CEC">
      <w:pPr>
        <w:spacing w:before="120" w:after="120" w:line="240" w:lineRule="auto"/>
        <w:rPr>
          <w:rFonts w:ascii="Arial" w:eastAsia="Arial Unicode MS" w:hAnsi="Arial" w:cs="Arial"/>
          <w:kern w:val="0"/>
          <w:sz w:val="24"/>
          <w:szCs w:val="24"/>
          <w:lang w:val="en-US"/>
          <w14:ligatures w14:val="none"/>
        </w:rPr>
      </w:pPr>
      <w:r w:rsidRPr="00512CEC">
        <w:rPr>
          <w:rFonts w:ascii="Arial" w:eastAsia="Arial Unicode MS" w:hAnsi="Arial" w:cs="Arial"/>
          <w:kern w:val="0"/>
          <w:sz w:val="24"/>
          <w:szCs w:val="24"/>
          <w:lang w:val="en-US"/>
          <w14:ligatures w14:val="none"/>
        </w:rPr>
        <w:t xml:space="preserve">Histopathology Resident Doctors in their 2nd year of training and beyond who have been awarded outcome 1 (satisfactory performance) at their last annual assessment (ARCP). </w:t>
      </w:r>
    </w:p>
    <w:p w14:paraId="671BF9F2" w14:textId="77777777" w:rsidR="00512CEC" w:rsidRPr="00512CEC" w:rsidRDefault="00512CEC" w:rsidP="00512CEC">
      <w:pPr>
        <w:keepNext/>
        <w:spacing w:before="120" w:after="120" w:line="240" w:lineRule="auto"/>
        <w:outlineLvl w:val="0"/>
        <w:rPr>
          <w:rFonts w:ascii="Arial" w:eastAsia="Times New Roman" w:hAnsi="Arial" w:cs="Arial"/>
          <w:b/>
          <w:kern w:val="0"/>
          <w:sz w:val="24"/>
          <w:szCs w:val="20"/>
          <w:u w:val="single"/>
          <w14:ligatures w14:val="none"/>
        </w:rPr>
      </w:pPr>
      <w:bookmarkStart w:id="7" w:name="_Toc23145905"/>
    </w:p>
    <w:p w14:paraId="37509F91" w14:textId="77777777" w:rsidR="00512CEC" w:rsidRPr="00512CEC" w:rsidRDefault="00512CEC" w:rsidP="00512CEC">
      <w:pPr>
        <w:spacing w:after="0" w:line="240" w:lineRule="auto"/>
        <w:rPr>
          <w:rFonts w:ascii="Times New Roman" w:eastAsia="Arial Unicode MS" w:hAnsi="Times New Roman" w:cs="Times New Roman"/>
          <w:kern w:val="0"/>
          <w:sz w:val="24"/>
          <w:szCs w:val="24"/>
          <w:lang w:val="en-US"/>
          <w14:ligatures w14:val="none"/>
        </w:rPr>
      </w:pPr>
    </w:p>
    <w:p w14:paraId="2B0651AC" w14:textId="77777777" w:rsidR="00512CEC" w:rsidRPr="00512CEC" w:rsidRDefault="00512CEC" w:rsidP="00512CEC">
      <w:pPr>
        <w:spacing w:after="0" w:line="240" w:lineRule="auto"/>
        <w:rPr>
          <w:rFonts w:ascii="Times New Roman" w:eastAsia="Arial Unicode MS" w:hAnsi="Times New Roman" w:cs="Times New Roman"/>
          <w:kern w:val="0"/>
          <w:sz w:val="24"/>
          <w:szCs w:val="24"/>
          <w:lang w:val="en-US"/>
          <w14:ligatures w14:val="none"/>
        </w:rPr>
      </w:pPr>
    </w:p>
    <w:p w14:paraId="2C77FEB7" w14:textId="77777777" w:rsidR="00512CEC" w:rsidRPr="00512CEC" w:rsidRDefault="00512CEC" w:rsidP="00512CEC">
      <w:pPr>
        <w:spacing w:after="0" w:line="240" w:lineRule="auto"/>
        <w:rPr>
          <w:rFonts w:ascii="Times New Roman" w:eastAsia="Arial Unicode MS" w:hAnsi="Times New Roman" w:cs="Times New Roman"/>
          <w:kern w:val="0"/>
          <w:sz w:val="24"/>
          <w:szCs w:val="24"/>
          <w:lang w:val="en-US"/>
          <w14:ligatures w14:val="none"/>
        </w:rPr>
      </w:pPr>
    </w:p>
    <w:p w14:paraId="1273740C" w14:textId="77777777" w:rsidR="00512CEC" w:rsidRDefault="00512CEC" w:rsidP="00512CEC">
      <w:pPr>
        <w:keepNext/>
        <w:spacing w:before="120" w:after="120" w:line="240" w:lineRule="auto"/>
        <w:outlineLvl w:val="0"/>
        <w:rPr>
          <w:rFonts w:ascii="Arial" w:eastAsia="Times New Roman" w:hAnsi="Arial" w:cs="Arial"/>
          <w:b/>
          <w:kern w:val="0"/>
          <w:sz w:val="24"/>
          <w:szCs w:val="20"/>
          <w:u w:val="single"/>
          <w14:ligatures w14:val="none"/>
        </w:rPr>
      </w:pPr>
      <w:r w:rsidRPr="00512CEC">
        <w:rPr>
          <w:rFonts w:ascii="Arial" w:eastAsia="Times New Roman" w:hAnsi="Arial" w:cs="Arial"/>
          <w:b/>
          <w:kern w:val="0"/>
          <w:sz w:val="24"/>
          <w:szCs w:val="20"/>
          <w:u w:val="single"/>
          <w14:ligatures w14:val="none"/>
        </w:rPr>
        <w:t>8 References</w:t>
      </w:r>
      <w:bookmarkStart w:id="8" w:name="_Toc23145906"/>
      <w:bookmarkEnd w:id="7"/>
    </w:p>
    <w:p w14:paraId="4057EB4A" w14:textId="77777777" w:rsidR="008B67F7" w:rsidRPr="00512CEC" w:rsidRDefault="008B67F7" w:rsidP="00512CEC">
      <w:pPr>
        <w:keepNext/>
        <w:spacing w:before="120" w:after="120" w:line="240" w:lineRule="auto"/>
        <w:outlineLvl w:val="0"/>
        <w:rPr>
          <w:rFonts w:ascii="Arial" w:eastAsia="Times New Roman" w:hAnsi="Arial" w:cs="Arial"/>
          <w:b/>
          <w:kern w:val="0"/>
          <w:sz w:val="24"/>
          <w:szCs w:val="20"/>
          <w:u w:val="single"/>
          <w14:ligatures w14:val="none"/>
        </w:rPr>
      </w:pPr>
    </w:p>
    <w:p w14:paraId="7237A15C" w14:textId="77777777" w:rsidR="00512CEC" w:rsidRPr="00512CEC" w:rsidRDefault="00512CEC" w:rsidP="00512CEC">
      <w:pPr>
        <w:keepNext/>
        <w:numPr>
          <w:ilvl w:val="0"/>
          <w:numId w:val="2"/>
        </w:numPr>
        <w:spacing w:before="120" w:after="120" w:line="240" w:lineRule="auto"/>
        <w:outlineLvl w:val="0"/>
        <w:rPr>
          <w:rFonts w:ascii="Arial" w:eastAsia="Times New Roman" w:hAnsi="Arial" w:cs="Arial"/>
          <w:kern w:val="0"/>
          <w:sz w:val="24"/>
          <w:szCs w:val="24"/>
          <w:lang w:eastAsia="en-GB"/>
          <w14:ligatures w14:val="none"/>
        </w:rPr>
      </w:pPr>
      <w:r w:rsidRPr="00512CEC">
        <w:rPr>
          <w:rFonts w:ascii="Arial" w:eastAsia="Times New Roman" w:hAnsi="Arial" w:cs="Arial"/>
          <w:kern w:val="0"/>
          <w:sz w:val="24"/>
          <w:szCs w:val="24"/>
          <w:lang w:eastAsia="en-GB"/>
          <w14:ligatures w14:val="none"/>
        </w:rPr>
        <w:t>Independent Reporting for trainees in Cellular Pathology Specialties including Histopathology, Diagnostic Neuropathology and Paediatric Pathology. 2021.</w:t>
      </w:r>
    </w:p>
    <w:p w14:paraId="5B363EAE" w14:textId="77777777" w:rsidR="00512CEC" w:rsidRPr="00512CEC" w:rsidRDefault="00512CEC" w:rsidP="00512CEC">
      <w:pPr>
        <w:spacing w:after="0" w:line="240" w:lineRule="auto"/>
        <w:ind w:left="360"/>
        <w:rPr>
          <w:rFonts w:ascii="Arial" w:eastAsia="Arial Unicode MS" w:hAnsi="Arial" w:cs="Arial"/>
          <w:kern w:val="0"/>
          <w:sz w:val="24"/>
          <w:szCs w:val="24"/>
          <w:lang w:val="en-US" w:eastAsia="en-GB"/>
          <w14:ligatures w14:val="none"/>
        </w:rPr>
      </w:pPr>
    </w:p>
    <w:p w14:paraId="4B0F8794" w14:textId="77777777" w:rsidR="00512CEC" w:rsidRPr="00512CEC" w:rsidRDefault="00512CEC" w:rsidP="00512CEC">
      <w:pPr>
        <w:spacing w:after="0" w:line="240" w:lineRule="auto"/>
        <w:ind w:left="360"/>
        <w:rPr>
          <w:rFonts w:ascii="Arial" w:eastAsia="Arial Unicode MS" w:hAnsi="Arial" w:cs="Arial"/>
          <w:kern w:val="0"/>
          <w:sz w:val="24"/>
          <w:szCs w:val="24"/>
          <w:lang w:val="en-US" w:eastAsia="en-GB"/>
          <w14:ligatures w14:val="none"/>
        </w:rPr>
      </w:pPr>
    </w:p>
    <w:p w14:paraId="2DD127F6" w14:textId="77777777" w:rsidR="00512CEC" w:rsidRPr="00512CEC" w:rsidRDefault="00512CEC" w:rsidP="00512CEC">
      <w:pPr>
        <w:spacing w:after="0" w:line="240" w:lineRule="auto"/>
        <w:ind w:left="360"/>
        <w:rPr>
          <w:rFonts w:ascii="Arial" w:eastAsia="Arial Unicode MS" w:hAnsi="Arial" w:cs="Arial"/>
          <w:kern w:val="0"/>
          <w:sz w:val="24"/>
          <w:szCs w:val="24"/>
          <w:lang w:val="en-US" w:eastAsia="en-GB"/>
          <w14:ligatures w14:val="none"/>
        </w:rPr>
      </w:pPr>
    </w:p>
    <w:p w14:paraId="4BF6D11F" w14:textId="77777777" w:rsidR="00512CEC" w:rsidRPr="00512CEC" w:rsidRDefault="00512CEC" w:rsidP="00512CEC">
      <w:pPr>
        <w:keepNext/>
        <w:spacing w:before="240" w:after="120" w:line="240" w:lineRule="auto"/>
        <w:outlineLvl w:val="0"/>
        <w:rPr>
          <w:rFonts w:ascii="Arial" w:eastAsia="Times New Roman" w:hAnsi="Arial" w:cs="Arial"/>
          <w:kern w:val="0"/>
          <w:sz w:val="24"/>
          <w:szCs w:val="20"/>
          <w14:ligatures w14:val="none"/>
        </w:rPr>
      </w:pPr>
      <w:r w:rsidRPr="00512CEC">
        <w:rPr>
          <w:rFonts w:ascii="Arial" w:eastAsia="Times New Roman" w:hAnsi="Arial" w:cs="Arial"/>
          <w:b/>
          <w:kern w:val="0"/>
          <w:sz w:val="24"/>
          <w:szCs w:val="20"/>
          <w:u w:val="single"/>
          <w14:ligatures w14:val="none"/>
        </w:rPr>
        <w:t xml:space="preserve">9 </w:t>
      </w:r>
      <w:bookmarkStart w:id="9" w:name="_Toc23145907"/>
      <w:bookmarkEnd w:id="8"/>
      <w:r w:rsidRPr="00512CEC">
        <w:rPr>
          <w:rFonts w:ascii="Arial" w:eastAsia="Times New Roman" w:hAnsi="Arial" w:cs="Arial"/>
          <w:b/>
          <w:kern w:val="0"/>
          <w:sz w:val="24"/>
          <w:szCs w:val="20"/>
          <w:u w:val="single"/>
          <w14:ligatures w14:val="none"/>
        </w:rPr>
        <w:t>Abbreviations</w:t>
      </w:r>
      <w:bookmarkEnd w:id="9"/>
    </w:p>
    <w:p w14:paraId="56C17A69" w14:textId="77777777" w:rsidR="00512CEC" w:rsidRPr="00512CEC" w:rsidRDefault="00512CEC" w:rsidP="00512CEC">
      <w:pPr>
        <w:spacing w:before="120" w:after="120" w:line="240" w:lineRule="auto"/>
        <w:rPr>
          <w:rFonts w:ascii="Arial" w:eastAsia="Times New Roman" w:hAnsi="Arial" w:cs="Arial"/>
          <w:kern w:val="0"/>
          <w:sz w:val="24"/>
          <w:szCs w:val="20"/>
          <w14:ligatures w14:val="none"/>
        </w:rPr>
      </w:pPr>
    </w:p>
    <w:tbl>
      <w:tblPr>
        <w:tblW w:w="104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371"/>
      </w:tblGrid>
      <w:tr w:rsidR="00512CEC" w:rsidRPr="00512CEC" w14:paraId="6BC67ED6" w14:textId="77777777" w:rsidTr="00096EC8">
        <w:tc>
          <w:tcPr>
            <w:tcW w:w="3085" w:type="dxa"/>
            <w:tcBorders>
              <w:top w:val="single" w:sz="4" w:space="0" w:color="auto"/>
              <w:left w:val="single" w:sz="4" w:space="0" w:color="auto"/>
              <w:bottom w:val="single" w:sz="4" w:space="0" w:color="auto"/>
              <w:right w:val="single" w:sz="4" w:space="0" w:color="auto"/>
            </w:tcBorders>
            <w:hideMark/>
          </w:tcPr>
          <w:p w14:paraId="5781FA6A" w14:textId="77777777" w:rsidR="00512CEC" w:rsidRPr="00512CEC" w:rsidRDefault="00512CEC" w:rsidP="00512CEC">
            <w:pPr>
              <w:spacing w:before="20" w:after="20" w:line="276" w:lineRule="auto"/>
              <w:rPr>
                <w:rFonts w:ascii="Arial" w:eastAsia="Times New Roman" w:hAnsi="Arial" w:cs="Arial"/>
                <w:kern w:val="0"/>
                <w:sz w:val="24"/>
                <w:szCs w:val="20"/>
                <w14:ligatures w14:val="none"/>
              </w:rPr>
            </w:pPr>
            <w:r w:rsidRPr="00512CEC">
              <w:rPr>
                <w:rFonts w:ascii="Arial" w:eastAsia="Times New Roman" w:hAnsi="Arial" w:cs="Arial"/>
                <w:kern w:val="0"/>
                <w:sz w:val="24"/>
                <w:szCs w:val="24"/>
                <w14:ligatures w14:val="none"/>
              </w:rPr>
              <w:t>RD</w:t>
            </w:r>
          </w:p>
        </w:tc>
        <w:tc>
          <w:tcPr>
            <w:tcW w:w="7371" w:type="dxa"/>
            <w:tcBorders>
              <w:top w:val="single" w:sz="4" w:space="0" w:color="auto"/>
              <w:left w:val="single" w:sz="4" w:space="0" w:color="auto"/>
              <w:bottom w:val="single" w:sz="4" w:space="0" w:color="auto"/>
              <w:right w:val="single" w:sz="4" w:space="0" w:color="auto"/>
            </w:tcBorders>
            <w:hideMark/>
          </w:tcPr>
          <w:p w14:paraId="3070A068" w14:textId="77777777" w:rsidR="00512CEC" w:rsidRPr="00512CEC" w:rsidRDefault="00512CEC" w:rsidP="00512CEC">
            <w:pPr>
              <w:spacing w:before="20" w:after="20" w:line="276" w:lineRule="auto"/>
              <w:rPr>
                <w:rFonts w:ascii="Arial" w:eastAsia="Times New Roman" w:hAnsi="Arial" w:cs="Arial"/>
                <w:kern w:val="0"/>
                <w:sz w:val="24"/>
                <w:szCs w:val="20"/>
                <w14:ligatures w14:val="none"/>
              </w:rPr>
            </w:pPr>
            <w:r w:rsidRPr="00512CEC">
              <w:rPr>
                <w:rFonts w:ascii="Arial" w:eastAsia="Times New Roman" w:hAnsi="Arial" w:cs="Arial"/>
                <w:kern w:val="0"/>
                <w:sz w:val="24"/>
                <w:szCs w:val="24"/>
                <w14:ligatures w14:val="none"/>
              </w:rPr>
              <w:t>Resident Doctor (trainee)</w:t>
            </w:r>
          </w:p>
        </w:tc>
      </w:tr>
      <w:tr w:rsidR="00512CEC" w:rsidRPr="00512CEC" w14:paraId="028ED408" w14:textId="77777777" w:rsidTr="00096EC8">
        <w:tc>
          <w:tcPr>
            <w:tcW w:w="3085" w:type="dxa"/>
            <w:tcBorders>
              <w:top w:val="single" w:sz="4" w:space="0" w:color="auto"/>
              <w:left w:val="single" w:sz="4" w:space="0" w:color="auto"/>
              <w:bottom w:val="single" w:sz="4" w:space="0" w:color="auto"/>
              <w:right w:val="single" w:sz="4" w:space="0" w:color="auto"/>
            </w:tcBorders>
            <w:hideMark/>
          </w:tcPr>
          <w:p w14:paraId="38FCB567" w14:textId="77777777" w:rsidR="00512CEC" w:rsidRPr="00512CEC" w:rsidRDefault="00512CEC" w:rsidP="00512CEC">
            <w:pPr>
              <w:spacing w:before="20" w:after="20" w:line="276" w:lineRule="auto"/>
              <w:rPr>
                <w:rFonts w:ascii="Arial" w:eastAsia="Times New Roman" w:hAnsi="Arial" w:cs="Arial"/>
                <w:kern w:val="0"/>
                <w:sz w:val="24"/>
                <w:szCs w:val="20"/>
                <w14:ligatures w14:val="none"/>
              </w:rPr>
            </w:pPr>
            <w:r w:rsidRPr="00512CEC">
              <w:rPr>
                <w:rFonts w:ascii="Arial" w:eastAsia="Times New Roman" w:hAnsi="Arial" w:cs="Arial"/>
                <w:kern w:val="0"/>
                <w:sz w:val="24"/>
                <w:szCs w:val="20"/>
                <w14:ligatures w14:val="none"/>
              </w:rPr>
              <w:t>ES</w:t>
            </w:r>
          </w:p>
        </w:tc>
        <w:tc>
          <w:tcPr>
            <w:tcW w:w="7371" w:type="dxa"/>
            <w:tcBorders>
              <w:top w:val="single" w:sz="4" w:space="0" w:color="auto"/>
              <w:left w:val="single" w:sz="4" w:space="0" w:color="auto"/>
              <w:bottom w:val="single" w:sz="4" w:space="0" w:color="auto"/>
              <w:right w:val="single" w:sz="4" w:space="0" w:color="auto"/>
            </w:tcBorders>
            <w:hideMark/>
          </w:tcPr>
          <w:p w14:paraId="51C80C5B" w14:textId="77777777" w:rsidR="00512CEC" w:rsidRPr="00512CEC" w:rsidRDefault="00512CEC" w:rsidP="00512CEC">
            <w:pPr>
              <w:spacing w:before="20" w:after="20" w:line="276" w:lineRule="auto"/>
              <w:rPr>
                <w:rFonts w:ascii="Arial" w:eastAsia="Times New Roman" w:hAnsi="Arial" w:cs="Arial"/>
                <w:kern w:val="0"/>
                <w:sz w:val="24"/>
                <w:szCs w:val="20"/>
                <w14:ligatures w14:val="none"/>
              </w:rPr>
            </w:pPr>
            <w:r w:rsidRPr="00512CEC">
              <w:rPr>
                <w:rFonts w:ascii="Arial" w:eastAsia="Times New Roman" w:hAnsi="Arial" w:cs="Arial"/>
                <w:kern w:val="0"/>
                <w:sz w:val="24"/>
                <w:szCs w:val="20"/>
                <w14:ligatures w14:val="none"/>
              </w:rPr>
              <w:t>Educational Supervisor</w:t>
            </w:r>
          </w:p>
        </w:tc>
      </w:tr>
      <w:tr w:rsidR="00512CEC" w:rsidRPr="00512CEC" w14:paraId="339CE1EB" w14:textId="77777777" w:rsidTr="00096EC8">
        <w:tc>
          <w:tcPr>
            <w:tcW w:w="3085" w:type="dxa"/>
            <w:tcBorders>
              <w:top w:val="single" w:sz="4" w:space="0" w:color="auto"/>
              <w:left w:val="single" w:sz="4" w:space="0" w:color="auto"/>
              <w:bottom w:val="single" w:sz="4" w:space="0" w:color="auto"/>
              <w:right w:val="single" w:sz="4" w:space="0" w:color="auto"/>
            </w:tcBorders>
            <w:hideMark/>
          </w:tcPr>
          <w:p w14:paraId="3C68E9A2" w14:textId="77777777" w:rsidR="00512CEC" w:rsidRPr="00512CEC" w:rsidRDefault="00512CEC" w:rsidP="00512CEC">
            <w:pPr>
              <w:spacing w:before="20" w:after="20" w:line="276" w:lineRule="auto"/>
              <w:rPr>
                <w:rFonts w:ascii="Arial" w:eastAsia="Times New Roman" w:hAnsi="Arial" w:cs="Arial"/>
                <w:kern w:val="0"/>
                <w:sz w:val="24"/>
                <w:szCs w:val="20"/>
                <w14:ligatures w14:val="none"/>
              </w:rPr>
            </w:pPr>
            <w:r w:rsidRPr="00512CEC">
              <w:rPr>
                <w:rFonts w:ascii="Arial" w:eastAsia="Times New Roman" w:hAnsi="Arial" w:cs="Arial"/>
                <w:kern w:val="0"/>
                <w:sz w:val="24"/>
                <w:szCs w:val="20"/>
                <w14:ligatures w14:val="none"/>
              </w:rPr>
              <w:t xml:space="preserve">CS </w:t>
            </w:r>
          </w:p>
        </w:tc>
        <w:tc>
          <w:tcPr>
            <w:tcW w:w="7371" w:type="dxa"/>
            <w:tcBorders>
              <w:top w:val="single" w:sz="4" w:space="0" w:color="auto"/>
              <w:left w:val="single" w:sz="4" w:space="0" w:color="auto"/>
              <w:bottom w:val="single" w:sz="4" w:space="0" w:color="auto"/>
              <w:right w:val="single" w:sz="4" w:space="0" w:color="auto"/>
            </w:tcBorders>
            <w:hideMark/>
          </w:tcPr>
          <w:p w14:paraId="1FD7C492" w14:textId="77777777" w:rsidR="00512CEC" w:rsidRPr="00512CEC" w:rsidRDefault="00512CEC" w:rsidP="00512CEC">
            <w:pPr>
              <w:spacing w:before="20" w:after="20" w:line="276" w:lineRule="auto"/>
              <w:rPr>
                <w:rFonts w:ascii="Arial" w:eastAsia="Times New Roman" w:hAnsi="Arial" w:cs="Arial"/>
                <w:kern w:val="0"/>
                <w:sz w:val="24"/>
                <w:szCs w:val="20"/>
                <w14:ligatures w14:val="none"/>
              </w:rPr>
            </w:pPr>
            <w:r w:rsidRPr="00512CEC">
              <w:rPr>
                <w:rFonts w:ascii="Arial" w:eastAsia="Times New Roman" w:hAnsi="Arial" w:cs="Arial"/>
                <w:kern w:val="0"/>
                <w:sz w:val="24"/>
                <w:szCs w:val="20"/>
                <w14:ligatures w14:val="none"/>
              </w:rPr>
              <w:t>Clinical Supervisor</w:t>
            </w:r>
          </w:p>
        </w:tc>
      </w:tr>
      <w:tr w:rsidR="00512CEC" w:rsidRPr="00512CEC" w14:paraId="27BE7AEB" w14:textId="77777777" w:rsidTr="00096EC8">
        <w:tc>
          <w:tcPr>
            <w:tcW w:w="3085" w:type="dxa"/>
            <w:tcBorders>
              <w:top w:val="single" w:sz="4" w:space="0" w:color="auto"/>
              <w:left w:val="single" w:sz="4" w:space="0" w:color="auto"/>
              <w:bottom w:val="single" w:sz="4" w:space="0" w:color="auto"/>
              <w:right w:val="single" w:sz="4" w:space="0" w:color="auto"/>
            </w:tcBorders>
            <w:hideMark/>
          </w:tcPr>
          <w:p w14:paraId="2493B5C9" w14:textId="77777777" w:rsidR="00512CEC" w:rsidRPr="00512CEC" w:rsidRDefault="00512CEC" w:rsidP="00512CEC">
            <w:pPr>
              <w:spacing w:before="20" w:after="20" w:line="276" w:lineRule="auto"/>
              <w:rPr>
                <w:rFonts w:ascii="Arial" w:eastAsia="Times New Roman" w:hAnsi="Arial" w:cs="Arial"/>
                <w:kern w:val="0"/>
                <w:sz w:val="24"/>
                <w:szCs w:val="20"/>
                <w14:ligatures w14:val="none"/>
              </w:rPr>
            </w:pPr>
            <w:r w:rsidRPr="00512CEC">
              <w:rPr>
                <w:rFonts w:ascii="Arial" w:eastAsia="Times New Roman" w:hAnsi="Arial" w:cs="Arial"/>
                <w:kern w:val="0"/>
                <w:sz w:val="24"/>
                <w:szCs w:val="20"/>
                <w14:ligatures w14:val="none"/>
              </w:rPr>
              <w:t>SL</w:t>
            </w:r>
          </w:p>
        </w:tc>
        <w:tc>
          <w:tcPr>
            <w:tcW w:w="7371" w:type="dxa"/>
            <w:tcBorders>
              <w:top w:val="single" w:sz="4" w:space="0" w:color="auto"/>
              <w:left w:val="single" w:sz="4" w:space="0" w:color="auto"/>
              <w:bottom w:val="single" w:sz="4" w:space="0" w:color="auto"/>
              <w:right w:val="single" w:sz="4" w:space="0" w:color="auto"/>
            </w:tcBorders>
            <w:hideMark/>
          </w:tcPr>
          <w:p w14:paraId="51B1A973" w14:textId="77777777" w:rsidR="00512CEC" w:rsidRPr="00512CEC" w:rsidRDefault="00512CEC" w:rsidP="00512CEC">
            <w:pPr>
              <w:spacing w:before="20" w:after="20" w:line="276" w:lineRule="auto"/>
              <w:rPr>
                <w:rFonts w:ascii="Arial" w:eastAsia="Times New Roman" w:hAnsi="Arial" w:cs="Arial"/>
                <w:kern w:val="0"/>
                <w:sz w:val="24"/>
                <w:szCs w:val="20"/>
                <w14:ligatures w14:val="none"/>
              </w:rPr>
            </w:pPr>
            <w:r w:rsidRPr="00512CEC">
              <w:rPr>
                <w:rFonts w:ascii="Arial" w:eastAsia="Times New Roman" w:hAnsi="Arial" w:cs="Arial"/>
                <w:kern w:val="0"/>
                <w:sz w:val="24"/>
                <w:szCs w:val="20"/>
                <w14:ligatures w14:val="none"/>
              </w:rPr>
              <w:t>Speciality Lead</w:t>
            </w:r>
          </w:p>
        </w:tc>
      </w:tr>
      <w:tr w:rsidR="00512CEC" w:rsidRPr="00512CEC" w14:paraId="721C517F" w14:textId="77777777" w:rsidTr="00096EC8">
        <w:tc>
          <w:tcPr>
            <w:tcW w:w="3085" w:type="dxa"/>
            <w:tcBorders>
              <w:top w:val="single" w:sz="4" w:space="0" w:color="auto"/>
              <w:left w:val="single" w:sz="4" w:space="0" w:color="auto"/>
              <w:bottom w:val="single" w:sz="4" w:space="0" w:color="auto"/>
              <w:right w:val="single" w:sz="4" w:space="0" w:color="auto"/>
            </w:tcBorders>
            <w:hideMark/>
          </w:tcPr>
          <w:p w14:paraId="517E508D" w14:textId="77777777" w:rsidR="00512CEC" w:rsidRPr="00512CEC" w:rsidRDefault="00512CEC" w:rsidP="00512CEC">
            <w:pPr>
              <w:spacing w:before="20" w:after="20" w:line="276" w:lineRule="auto"/>
              <w:rPr>
                <w:rFonts w:ascii="Arial" w:eastAsia="Times New Roman" w:hAnsi="Arial" w:cs="Arial"/>
                <w:kern w:val="0"/>
                <w:sz w:val="24"/>
                <w:szCs w:val="20"/>
                <w14:ligatures w14:val="none"/>
              </w:rPr>
            </w:pPr>
            <w:r w:rsidRPr="00512CEC">
              <w:rPr>
                <w:rFonts w:ascii="Arial" w:eastAsia="Times New Roman" w:hAnsi="Arial" w:cs="Arial"/>
                <w:kern w:val="0"/>
                <w:sz w:val="24"/>
                <w:szCs w:val="24"/>
                <w14:ligatures w14:val="none"/>
              </w:rPr>
              <w:t>ARCP</w:t>
            </w:r>
          </w:p>
        </w:tc>
        <w:tc>
          <w:tcPr>
            <w:tcW w:w="7371" w:type="dxa"/>
            <w:tcBorders>
              <w:top w:val="single" w:sz="4" w:space="0" w:color="auto"/>
              <w:left w:val="single" w:sz="4" w:space="0" w:color="auto"/>
              <w:bottom w:val="single" w:sz="4" w:space="0" w:color="auto"/>
              <w:right w:val="single" w:sz="4" w:space="0" w:color="auto"/>
            </w:tcBorders>
            <w:hideMark/>
          </w:tcPr>
          <w:p w14:paraId="75E5207D" w14:textId="77777777" w:rsidR="00512CEC" w:rsidRPr="00512CEC" w:rsidRDefault="00512CEC" w:rsidP="00512CEC">
            <w:pPr>
              <w:spacing w:before="20" w:after="20" w:line="276" w:lineRule="auto"/>
              <w:rPr>
                <w:rFonts w:ascii="Arial" w:eastAsia="Times New Roman" w:hAnsi="Arial" w:cs="Arial"/>
                <w:kern w:val="0"/>
                <w:sz w:val="24"/>
                <w:szCs w:val="20"/>
                <w14:ligatures w14:val="none"/>
              </w:rPr>
            </w:pPr>
            <w:r w:rsidRPr="00512CEC">
              <w:rPr>
                <w:rFonts w:ascii="Arial" w:eastAsia="Times New Roman" w:hAnsi="Arial" w:cs="Arial"/>
                <w:kern w:val="0"/>
                <w:sz w:val="24"/>
                <w:szCs w:val="20"/>
                <w14:ligatures w14:val="none"/>
              </w:rPr>
              <w:t>Annual Review of Competency Progression</w:t>
            </w:r>
          </w:p>
        </w:tc>
      </w:tr>
      <w:tr w:rsidR="00512CEC" w:rsidRPr="00512CEC" w14:paraId="5979422A" w14:textId="77777777" w:rsidTr="00096EC8">
        <w:tc>
          <w:tcPr>
            <w:tcW w:w="3085" w:type="dxa"/>
            <w:tcBorders>
              <w:top w:val="single" w:sz="4" w:space="0" w:color="auto"/>
              <w:left w:val="single" w:sz="4" w:space="0" w:color="auto"/>
              <w:bottom w:val="single" w:sz="4" w:space="0" w:color="auto"/>
              <w:right w:val="single" w:sz="4" w:space="0" w:color="auto"/>
            </w:tcBorders>
            <w:hideMark/>
          </w:tcPr>
          <w:p w14:paraId="436F592B" w14:textId="77777777" w:rsidR="00512CEC" w:rsidRPr="00512CEC" w:rsidRDefault="00512CEC" w:rsidP="00512CEC">
            <w:pPr>
              <w:spacing w:before="20" w:after="20" w:line="276" w:lineRule="auto"/>
              <w:rPr>
                <w:rFonts w:ascii="Arial" w:eastAsia="Times New Roman" w:hAnsi="Arial" w:cs="Arial"/>
                <w:kern w:val="0"/>
                <w:sz w:val="24"/>
                <w:szCs w:val="20"/>
                <w14:ligatures w14:val="none"/>
              </w:rPr>
            </w:pPr>
            <w:r w:rsidRPr="00512CEC">
              <w:rPr>
                <w:rFonts w:ascii="Arial" w:eastAsia="Times New Roman" w:hAnsi="Arial" w:cs="Arial"/>
                <w:kern w:val="0"/>
                <w:sz w:val="24"/>
                <w:szCs w:val="20"/>
                <w14:ligatures w14:val="none"/>
              </w:rPr>
              <w:t>ESSR</w:t>
            </w:r>
          </w:p>
        </w:tc>
        <w:tc>
          <w:tcPr>
            <w:tcW w:w="7371" w:type="dxa"/>
            <w:tcBorders>
              <w:top w:val="single" w:sz="4" w:space="0" w:color="auto"/>
              <w:left w:val="single" w:sz="4" w:space="0" w:color="auto"/>
              <w:bottom w:val="single" w:sz="4" w:space="0" w:color="auto"/>
              <w:right w:val="single" w:sz="4" w:space="0" w:color="auto"/>
            </w:tcBorders>
            <w:hideMark/>
          </w:tcPr>
          <w:p w14:paraId="21BC8CFB" w14:textId="77777777" w:rsidR="00512CEC" w:rsidRPr="00512CEC" w:rsidRDefault="00512CEC" w:rsidP="00512CEC">
            <w:pPr>
              <w:spacing w:before="20" w:after="20" w:line="276" w:lineRule="auto"/>
              <w:rPr>
                <w:rFonts w:ascii="Arial" w:eastAsia="Times New Roman" w:hAnsi="Arial" w:cs="Arial"/>
                <w:kern w:val="0"/>
                <w:sz w:val="24"/>
                <w:szCs w:val="20"/>
                <w14:ligatures w14:val="none"/>
              </w:rPr>
            </w:pPr>
            <w:r w:rsidRPr="00512CEC">
              <w:rPr>
                <w:rFonts w:ascii="Arial" w:eastAsia="Times New Roman" w:hAnsi="Arial" w:cs="Arial"/>
                <w:kern w:val="0"/>
                <w:sz w:val="24"/>
                <w:szCs w:val="20"/>
                <w14:ligatures w14:val="none"/>
              </w:rPr>
              <w:t>Educational Supervisors Structured Report</w:t>
            </w:r>
          </w:p>
        </w:tc>
      </w:tr>
      <w:tr w:rsidR="00512CEC" w:rsidRPr="00512CEC" w14:paraId="2E480D19" w14:textId="77777777" w:rsidTr="00096EC8">
        <w:tc>
          <w:tcPr>
            <w:tcW w:w="3085" w:type="dxa"/>
            <w:tcBorders>
              <w:top w:val="single" w:sz="4" w:space="0" w:color="auto"/>
              <w:left w:val="single" w:sz="4" w:space="0" w:color="auto"/>
              <w:bottom w:val="single" w:sz="4" w:space="0" w:color="auto"/>
              <w:right w:val="single" w:sz="4" w:space="0" w:color="auto"/>
            </w:tcBorders>
            <w:hideMark/>
          </w:tcPr>
          <w:p w14:paraId="1BEC1BF4" w14:textId="77777777" w:rsidR="00512CEC" w:rsidRPr="00512CEC" w:rsidRDefault="00512CEC" w:rsidP="00512CEC">
            <w:pPr>
              <w:spacing w:before="20" w:after="20" w:line="276" w:lineRule="auto"/>
              <w:rPr>
                <w:rFonts w:ascii="Arial" w:eastAsia="Times New Roman" w:hAnsi="Arial" w:cs="Arial"/>
                <w:kern w:val="0"/>
                <w:sz w:val="24"/>
                <w:szCs w:val="20"/>
                <w14:ligatures w14:val="none"/>
              </w:rPr>
            </w:pPr>
            <w:r w:rsidRPr="00512CEC">
              <w:rPr>
                <w:rFonts w:ascii="Arial" w:eastAsia="Times New Roman" w:hAnsi="Arial" w:cs="Arial"/>
                <w:kern w:val="0"/>
                <w:sz w:val="24"/>
                <w:szCs w:val="20"/>
                <w14:ligatures w14:val="none"/>
              </w:rPr>
              <w:t>AOP</w:t>
            </w:r>
          </w:p>
        </w:tc>
        <w:tc>
          <w:tcPr>
            <w:tcW w:w="7371" w:type="dxa"/>
            <w:tcBorders>
              <w:top w:val="single" w:sz="4" w:space="0" w:color="auto"/>
              <w:left w:val="single" w:sz="4" w:space="0" w:color="auto"/>
              <w:bottom w:val="single" w:sz="4" w:space="0" w:color="auto"/>
              <w:right w:val="single" w:sz="4" w:space="0" w:color="auto"/>
            </w:tcBorders>
            <w:hideMark/>
          </w:tcPr>
          <w:p w14:paraId="4BF9192F" w14:textId="77777777" w:rsidR="00512CEC" w:rsidRPr="00512CEC" w:rsidRDefault="00512CEC" w:rsidP="00512CEC">
            <w:pPr>
              <w:spacing w:before="20" w:after="20" w:line="276" w:lineRule="auto"/>
              <w:rPr>
                <w:rFonts w:ascii="Arial" w:eastAsia="Times New Roman" w:hAnsi="Arial" w:cs="Arial"/>
                <w:kern w:val="0"/>
                <w:sz w:val="24"/>
                <w:szCs w:val="20"/>
                <w14:ligatures w14:val="none"/>
              </w:rPr>
            </w:pPr>
            <w:r w:rsidRPr="00512CEC">
              <w:rPr>
                <w:rFonts w:ascii="Arial" w:eastAsia="Times New Roman" w:hAnsi="Arial" w:cs="Arial"/>
                <w:kern w:val="0"/>
                <w:sz w:val="24"/>
                <w:szCs w:val="20"/>
                <w14:ligatures w14:val="none"/>
              </w:rPr>
              <w:t>Assessment of performance</w:t>
            </w:r>
          </w:p>
        </w:tc>
      </w:tr>
    </w:tbl>
    <w:p w14:paraId="1D2B3693" w14:textId="77777777" w:rsidR="00512CEC" w:rsidRPr="00512CEC" w:rsidRDefault="00512CEC" w:rsidP="00512CEC">
      <w:pPr>
        <w:tabs>
          <w:tab w:val="left" w:pos="1080"/>
        </w:tabs>
        <w:spacing w:after="0" w:line="240" w:lineRule="auto"/>
        <w:rPr>
          <w:rFonts w:ascii="Arial" w:eastAsia="Arial Unicode MS" w:hAnsi="Arial" w:cs="Arial"/>
          <w:kern w:val="0"/>
          <w:sz w:val="24"/>
          <w:szCs w:val="24"/>
          <w:lang w:val="en-US"/>
          <w14:ligatures w14:val="none"/>
        </w:rPr>
      </w:pPr>
    </w:p>
    <w:p w14:paraId="7FC789BA" w14:textId="77777777" w:rsidR="00B9351E" w:rsidRDefault="00B9351E"/>
    <w:sectPr w:rsidR="00B9351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18606" w14:textId="77777777" w:rsidR="00512CEC" w:rsidRDefault="00512CEC" w:rsidP="00512CEC">
      <w:pPr>
        <w:spacing w:after="0" w:line="240" w:lineRule="auto"/>
      </w:pPr>
      <w:r>
        <w:separator/>
      </w:r>
    </w:p>
  </w:endnote>
  <w:endnote w:type="continuationSeparator" w:id="0">
    <w:p w14:paraId="4750033A" w14:textId="77777777" w:rsidR="00512CEC" w:rsidRDefault="00512CEC" w:rsidP="00512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C472D" w14:textId="77777777" w:rsidR="000A1944" w:rsidRDefault="000A1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B4EFE" w14:textId="21510FE4" w:rsidR="00D17893" w:rsidRDefault="00D17893">
    <w:pPr>
      <w:pStyle w:val="Footer"/>
    </w:pPr>
    <w:r>
      <w:rPr>
        <w:noProof/>
      </w:rPr>
      <mc:AlternateContent>
        <mc:Choice Requires="wps">
          <w:drawing>
            <wp:anchor distT="45720" distB="45720" distL="114300" distR="114300" simplePos="0" relativeHeight="251659264" behindDoc="0" locked="0" layoutInCell="1" allowOverlap="1" wp14:anchorId="3DDB6097" wp14:editId="7847C5D4">
              <wp:simplePos x="0" y="0"/>
              <wp:positionH relativeFrom="margin">
                <wp:align>right</wp:align>
              </wp:positionH>
              <wp:positionV relativeFrom="paragraph">
                <wp:posOffset>49530</wp:posOffset>
              </wp:positionV>
              <wp:extent cx="5715000" cy="533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33400"/>
                      </a:xfrm>
                      <a:prstGeom prst="rect">
                        <a:avLst/>
                      </a:prstGeom>
                      <a:solidFill>
                        <a:srgbClr val="FFFFFF"/>
                      </a:solidFill>
                      <a:ln w="9525">
                        <a:solidFill>
                          <a:srgbClr val="000000"/>
                        </a:solidFill>
                        <a:miter lim="800000"/>
                        <a:headEnd/>
                        <a:tailEnd/>
                      </a:ln>
                    </wps:spPr>
                    <wps:txbx>
                      <w:txbxContent>
                        <w:p w14:paraId="6ECF5C9D" w14:textId="77777777" w:rsidR="00D17893" w:rsidRDefault="00D17893" w:rsidP="00D17893">
                          <w:pPr>
                            <w:pStyle w:val="Footer"/>
                            <w:rPr>
                              <w:rFonts w:ascii="Calibri" w:hAnsi="Calibri" w:cs="Calibri"/>
                              <w:color w:val="0000FF"/>
                            </w:rPr>
                          </w:pPr>
                        </w:p>
                        <w:p w14:paraId="18D264C0" w14:textId="24959E51" w:rsidR="00D17893" w:rsidRPr="00F84896" w:rsidRDefault="00661AB9" w:rsidP="00D17893">
                          <w:pPr>
                            <w:pStyle w:val="Footer"/>
                            <w:rPr>
                              <w:rFonts w:ascii="Calibri" w:hAnsi="Calibri" w:cs="Calibri"/>
                              <w:color w:val="0000FF"/>
                            </w:rPr>
                          </w:pPr>
                          <w:r>
                            <w:rPr>
                              <w:rFonts w:ascii="Calibri" w:hAnsi="Calibri" w:cs="Calibri"/>
                              <w:color w:val="0000FF"/>
                            </w:rPr>
                            <w:tab/>
                          </w:r>
                          <w:r w:rsidR="00D17893" w:rsidRPr="00F84896">
                            <w:rPr>
                              <w:rFonts w:ascii="Calibri" w:hAnsi="Calibri" w:cs="Calibri"/>
                              <w:color w:val="0000FF"/>
                            </w:rPr>
                            <w:t xml:space="preserve">THIS IS AN OFFICIAL </w:t>
                          </w:r>
                          <w:r w:rsidR="00A859C9">
                            <w:rPr>
                              <w:rFonts w:ascii="Calibri" w:hAnsi="Calibri" w:cs="Calibri"/>
                              <w:color w:val="0000FF"/>
                            </w:rPr>
                            <w:t>DOCUMENT</w:t>
                          </w:r>
                          <w:r w:rsidR="00D17893" w:rsidRPr="00F84896">
                            <w:rPr>
                              <w:rFonts w:ascii="Calibri" w:hAnsi="Calibri" w:cs="Calibri"/>
                              <w:color w:val="0000FF"/>
                            </w:rPr>
                            <w:t xml:space="preserve"> APPROVED BY THE</w:t>
                          </w:r>
                          <w:r w:rsidR="008765CA">
                            <w:rPr>
                              <w:rFonts w:ascii="Calibri" w:hAnsi="Calibri" w:cs="Calibri"/>
                              <w:color w:val="0000FF"/>
                            </w:rPr>
                            <w:t xml:space="preserve"> NW</w:t>
                          </w:r>
                          <w:r w:rsidR="00D17893" w:rsidRPr="00F84896">
                            <w:rPr>
                              <w:rFonts w:ascii="Calibri" w:hAnsi="Calibri" w:cs="Calibri"/>
                              <w:color w:val="0000FF"/>
                            </w:rPr>
                            <w:t xml:space="preserve"> HISTOPATHOLOGY STC</w:t>
                          </w:r>
                          <w:r w:rsidR="00E9485F">
                            <w:rPr>
                              <w:rFonts w:ascii="Calibri" w:hAnsi="Calibri" w:cs="Calibri"/>
                              <w:color w:val="0000FF"/>
                            </w:rPr>
                            <w:t xml:space="preserve"> </w:t>
                          </w:r>
                        </w:p>
                        <w:p w14:paraId="7E6FC7CD" w14:textId="4461EBE9" w:rsidR="00D17893" w:rsidRDefault="00D178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DB6097" id="_x0000_t202" coordsize="21600,21600" o:spt="202" path="m,l,21600r21600,l21600,xe">
              <v:stroke joinstyle="miter"/>
              <v:path gradientshapeok="t" o:connecttype="rect"/>
            </v:shapetype>
            <v:shape id="Text Box 2" o:spid="_x0000_s1026" type="#_x0000_t202" style="position:absolute;margin-left:398.8pt;margin-top:3.9pt;width:450pt;height:4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">
              <v:textbox>
                <w:txbxContent>
                  <w:p w14:paraId="6ECF5C9D" w14:textId="77777777" w:rsidR="00D17893" w:rsidRDefault="00D17893" w:rsidP="00D17893">
                    <w:pPr>
                      <w:pStyle w:val="Footer"/>
                      <w:rPr>
                        <w:rFonts w:ascii="Calibri" w:hAnsi="Calibri" w:cs="Calibri"/>
                        <w:color w:val="0000FF"/>
                      </w:rPr>
                    </w:pPr>
                  </w:p>
                  <w:p w14:paraId="18D264C0" w14:textId="24959E51" w:rsidR="00D17893" w:rsidRPr="00F84896" w:rsidRDefault="00661AB9" w:rsidP="00D17893">
                    <w:pPr>
                      <w:pStyle w:val="Footer"/>
                      <w:rPr>
                        <w:rFonts w:ascii="Calibri" w:hAnsi="Calibri" w:cs="Calibri"/>
                        <w:color w:val="0000FF"/>
                      </w:rPr>
                    </w:pPr>
                    <w:r>
                      <w:rPr>
                        <w:rFonts w:ascii="Calibri" w:hAnsi="Calibri" w:cs="Calibri"/>
                        <w:color w:val="0000FF"/>
                      </w:rPr>
                      <w:tab/>
                    </w:r>
                    <w:r w:rsidR="00D17893" w:rsidRPr="00F84896">
                      <w:rPr>
                        <w:rFonts w:ascii="Calibri" w:hAnsi="Calibri" w:cs="Calibri"/>
                        <w:color w:val="0000FF"/>
                      </w:rPr>
                      <w:t xml:space="preserve">THIS IS AN OFFICIAL </w:t>
                    </w:r>
                    <w:r w:rsidR="00A859C9">
                      <w:rPr>
                        <w:rFonts w:ascii="Calibri" w:hAnsi="Calibri" w:cs="Calibri"/>
                        <w:color w:val="0000FF"/>
                      </w:rPr>
                      <w:t>DOCUMENT</w:t>
                    </w:r>
                    <w:r w:rsidR="00D17893" w:rsidRPr="00F84896">
                      <w:rPr>
                        <w:rFonts w:ascii="Calibri" w:hAnsi="Calibri" w:cs="Calibri"/>
                        <w:color w:val="0000FF"/>
                      </w:rPr>
                      <w:t xml:space="preserve"> APPROVED BY THE</w:t>
                    </w:r>
                    <w:r w:rsidR="008765CA">
                      <w:rPr>
                        <w:rFonts w:ascii="Calibri" w:hAnsi="Calibri" w:cs="Calibri"/>
                        <w:color w:val="0000FF"/>
                      </w:rPr>
                      <w:t xml:space="preserve"> NW</w:t>
                    </w:r>
                    <w:r w:rsidR="00D17893" w:rsidRPr="00F84896">
                      <w:rPr>
                        <w:rFonts w:ascii="Calibri" w:hAnsi="Calibri" w:cs="Calibri"/>
                        <w:color w:val="0000FF"/>
                      </w:rPr>
                      <w:t xml:space="preserve"> HISTOPATHOLOGY STC</w:t>
                    </w:r>
                    <w:r w:rsidR="00E9485F">
                      <w:rPr>
                        <w:rFonts w:ascii="Calibri" w:hAnsi="Calibri" w:cs="Calibri"/>
                        <w:color w:val="0000FF"/>
                      </w:rPr>
                      <w:t xml:space="preserve"> </w:t>
                    </w:r>
                  </w:p>
                  <w:p w14:paraId="7E6FC7CD" w14:textId="4461EBE9" w:rsidR="00D17893" w:rsidRDefault="00D17893"/>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06D4F" w14:textId="77777777" w:rsidR="000A1944" w:rsidRDefault="000A1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05F09" w14:textId="77777777" w:rsidR="00512CEC" w:rsidRDefault="00512CEC" w:rsidP="00512CEC">
      <w:pPr>
        <w:spacing w:after="0" w:line="240" w:lineRule="auto"/>
      </w:pPr>
      <w:r>
        <w:separator/>
      </w:r>
    </w:p>
  </w:footnote>
  <w:footnote w:type="continuationSeparator" w:id="0">
    <w:p w14:paraId="44A75AAD" w14:textId="77777777" w:rsidR="00512CEC" w:rsidRDefault="00512CEC" w:rsidP="00512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5A331" w14:textId="77777777" w:rsidR="000A1944" w:rsidRDefault="000A19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3108"/>
      <w:gridCol w:w="3577"/>
    </w:tblGrid>
    <w:tr w:rsidR="00D17893" w14:paraId="364C1FF9" w14:textId="77777777" w:rsidTr="000A1944">
      <w:trPr>
        <w:trHeight w:val="1266"/>
      </w:trPr>
      <w:tc>
        <w:tcPr>
          <w:tcW w:w="2864" w:type="dxa"/>
          <w:vMerge w:val="restart"/>
        </w:tcPr>
        <w:p w14:paraId="41A5A60D" w14:textId="161A3AAA" w:rsidR="00D17893" w:rsidRPr="006B3206" w:rsidRDefault="000A1944" w:rsidP="00D17893">
          <w:pPr>
            <w:pStyle w:val="Header"/>
            <w:jc w:val="both"/>
            <w:rPr>
              <w:rFonts w:ascii="Comic Sans MS" w:hAnsi="Comic Sans MS"/>
            </w:rPr>
          </w:pPr>
          <w:r>
            <w:rPr>
              <w:noProof/>
            </w:rPr>
            <w:drawing>
              <wp:inline distT="0" distB="0" distL="0" distR="0" wp14:anchorId="074959E9" wp14:editId="5140A7C0">
                <wp:extent cx="1819275" cy="838200"/>
                <wp:effectExtent l="0" t="0" r="9525" b="0"/>
                <wp:docPr id="3" name="Picture 2" descr="Health Education England - Thyroid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lth Education England - Thyroid 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838200"/>
                        </a:xfrm>
                        <a:prstGeom prst="rect">
                          <a:avLst/>
                        </a:prstGeom>
                        <a:noFill/>
                        <a:ln>
                          <a:noFill/>
                        </a:ln>
                      </pic:spPr>
                    </pic:pic>
                  </a:graphicData>
                </a:graphic>
              </wp:inline>
            </w:drawing>
          </w:r>
        </w:p>
      </w:tc>
      <w:tc>
        <w:tcPr>
          <w:tcW w:w="3200" w:type="dxa"/>
        </w:tcPr>
        <w:p w14:paraId="4A0A2541" w14:textId="77777777" w:rsidR="000A1944" w:rsidRDefault="00D17893" w:rsidP="00D17893">
          <w:pPr>
            <w:pStyle w:val="Header"/>
            <w:rPr>
              <w:rFonts w:ascii="Calibri" w:hAnsi="Calibri" w:cs="Calibri"/>
            </w:rPr>
          </w:pPr>
          <w:r w:rsidRPr="000E56ED">
            <w:rPr>
              <w:rFonts w:ascii="Calibri" w:hAnsi="Calibri" w:cs="Calibri"/>
            </w:rPr>
            <w:t xml:space="preserve">Author: </w:t>
          </w:r>
        </w:p>
        <w:p w14:paraId="7A9E618B" w14:textId="1FE908FA" w:rsidR="000A1944" w:rsidRDefault="00D17893" w:rsidP="00D17893">
          <w:pPr>
            <w:pStyle w:val="Header"/>
            <w:rPr>
              <w:rFonts w:ascii="Calibri" w:hAnsi="Calibri" w:cs="Calibri"/>
            </w:rPr>
          </w:pPr>
          <w:r w:rsidRPr="000E56ED">
            <w:rPr>
              <w:rFonts w:ascii="Calibri" w:hAnsi="Calibri" w:cs="Calibri"/>
            </w:rPr>
            <w:t xml:space="preserve">Dr </w:t>
          </w:r>
          <w:r>
            <w:rPr>
              <w:rFonts w:ascii="Calibri" w:hAnsi="Calibri" w:cs="Calibri"/>
            </w:rPr>
            <w:t xml:space="preserve">Preethi Joseph </w:t>
          </w:r>
        </w:p>
        <w:p w14:paraId="509BECAD" w14:textId="35042223" w:rsidR="00D17893" w:rsidRPr="000E56ED" w:rsidRDefault="00D17893" w:rsidP="00D17893">
          <w:pPr>
            <w:pStyle w:val="Header"/>
            <w:rPr>
              <w:rFonts w:ascii="Calibri" w:hAnsi="Calibri" w:cs="Calibri"/>
            </w:rPr>
          </w:pPr>
          <w:r>
            <w:rPr>
              <w:rFonts w:ascii="Calibri" w:hAnsi="Calibri" w:cs="Calibri"/>
            </w:rPr>
            <w:t>(NW Histopathology TPD)</w:t>
          </w:r>
        </w:p>
      </w:tc>
      <w:tc>
        <w:tcPr>
          <w:tcW w:w="3717" w:type="dxa"/>
        </w:tcPr>
        <w:p w14:paraId="0589ACE3" w14:textId="77777777" w:rsidR="00D17893" w:rsidRDefault="00D17893" w:rsidP="00D17893">
          <w:pPr>
            <w:pStyle w:val="Header"/>
            <w:rPr>
              <w:rFonts w:ascii="Calibri" w:hAnsi="Calibri" w:cs="Calibri"/>
            </w:rPr>
          </w:pPr>
          <w:r w:rsidRPr="000E56ED">
            <w:rPr>
              <w:rFonts w:ascii="Calibri" w:hAnsi="Calibri" w:cs="Calibri"/>
            </w:rPr>
            <w:t>Date of I</w:t>
          </w:r>
          <w:r>
            <w:rPr>
              <w:rFonts w:ascii="Calibri" w:hAnsi="Calibri" w:cs="Calibri"/>
            </w:rPr>
            <w:t xml:space="preserve">ssue: </w:t>
          </w:r>
        </w:p>
        <w:p w14:paraId="08D3896F" w14:textId="365976ED" w:rsidR="000A1944" w:rsidRPr="000E56ED" w:rsidRDefault="00E1533A" w:rsidP="00D17893">
          <w:pPr>
            <w:pStyle w:val="Header"/>
            <w:rPr>
              <w:rFonts w:ascii="Calibri" w:hAnsi="Calibri" w:cs="Calibri"/>
            </w:rPr>
          </w:pPr>
          <w:r>
            <w:rPr>
              <w:rFonts w:ascii="Calibri" w:hAnsi="Calibri" w:cs="Calibri"/>
            </w:rPr>
            <w:t>08.05.2025</w:t>
          </w:r>
        </w:p>
      </w:tc>
    </w:tr>
    <w:tr w:rsidR="00D17893" w14:paraId="54B8B785" w14:textId="77777777" w:rsidTr="000A1944">
      <w:tc>
        <w:tcPr>
          <w:tcW w:w="2864" w:type="dxa"/>
          <w:vMerge/>
        </w:tcPr>
        <w:p w14:paraId="21735339" w14:textId="77777777" w:rsidR="00D17893" w:rsidRPr="006B3206" w:rsidRDefault="00D17893" w:rsidP="00D17893">
          <w:pPr>
            <w:pStyle w:val="Header"/>
            <w:rPr>
              <w:rFonts w:ascii="Comic Sans MS" w:hAnsi="Comic Sans MS"/>
            </w:rPr>
          </w:pPr>
        </w:p>
      </w:tc>
      <w:tc>
        <w:tcPr>
          <w:tcW w:w="3200" w:type="dxa"/>
        </w:tcPr>
        <w:p w14:paraId="604C7B49" w14:textId="794E077D" w:rsidR="00D17893" w:rsidRPr="000E56ED" w:rsidRDefault="00D17893" w:rsidP="00D17893">
          <w:pPr>
            <w:pStyle w:val="Header"/>
            <w:rPr>
              <w:rFonts w:ascii="Calibri" w:hAnsi="Calibri" w:cs="Calibri"/>
            </w:rPr>
          </w:pPr>
        </w:p>
      </w:tc>
      <w:tc>
        <w:tcPr>
          <w:tcW w:w="3717" w:type="dxa"/>
        </w:tcPr>
        <w:p w14:paraId="71228798" w14:textId="298BACD9" w:rsidR="00D17893" w:rsidRPr="000E56ED" w:rsidRDefault="000A1944" w:rsidP="00D17893">
          <w:pPr>
            <w:pStyle w:val="Header"/>
            <w:rPr>
              <w:rFonts w:ascii="Calibri" w:hAnsi="Calibri" w:cs="Calibri"/>
            </w:rPr>
          </w:pPr>
          <w:r>
            <w:rPr>
              <w:rFonts w:ascii="Calibri" w:hAnsi="Calibri" w:cs="Calibri"/>
            </w:rPr>
            <w:t xml:space="preserve"> Revision Number</w:t>
          </w:r>
          <w:r w:rsidR="00D506EB">
            <w:rPr>
              <w:rFonts w:ascii="Calibri" w:hAnsi="Calibri" w:cs="Calibri"/>
            </w:rPr>
            <w:t>: NA</w:t>
          </w:r>
        </w:p>
      </w:tc>
    </w:tr>
    <w:tr w:rsidR="00D17893" w14:paraId="412D3EEB" w14:textId="77777777" w:rsidTr="000A1944">
      <w:tc>
        <w:tcPr>
          <w:tcW w:w="6064" w:type="dxa"/>
          <w:gridSpan w:val="2"/>
        </w:tcPr>
        <w:p w14:paraId="4D655955" w14:textId="7A0B353E" w:rsidR="00D17893" w:rsidRPr="000E56ED" w:rsidRDefault="00D17893" w:rsidP="00D17893">
          <w:pPr>
            <w:pStyle w:val="Title"/>
            <w:rPr>
              <w:rFonts w:ascii="Calibri" w:hAnsi="Calibri" w:cs="Calibri"/>
              <w:b/>
              <w:sz w:val="22"/>
            </w:rPr>
          </w:pPr>
        </w:p>
      </w:tc>
      <w:tc>
        <w:tcPr>
          <w:tcW w:w="3717" w:type="dxa"/>
        </w:tcPr>
        <w:p w14:paraId="442100EC" w14:textId="7C21FCF4" w:rsidR="00D17893" w:rsidRPr="000E56ED" w:rsidRDefault="00D17893" w:rsidP="00D17893">
          <w:pPr>
            <w:pStyle w:val="Header"/>
            <w:rPr>
              <w:rFonts w:ascii="Calibri" w:hAnsi="Calibri" w:cs="Calibri"/>
            </w:rPr>
          </w:pPr>
          <w:r w:rsidRPr="000E56ED">
            <w:rPr>
              <w:rFonts w:ascii="Calibri" w:hAnsi="Calibri" w:cs="Calibri"/>
            </w:rPr>
            <w:t xml:space="preserve"> Page </w:t>
          </w:r>
          <w:r w:rsidRPr="000E56ED">
            <w:rPr>
              <w:rFonts w:ascii="Calibri" w:hAnsi="Calibri" w:cs="Calibri"/>
            </w:rPr>
            <w:fldChar w:fldCharType="begin"/>
          </w:r>
          <w:r w:rsidRPr="000E56ED">
            <w:rPr>
              <w:rFonts w:ascii="Calibri" w:hAnsi="Calibri" w:cs="Calibri"/>
            </w:rPr>
            <w:instrText xml:space="preserve"> PAGE </w:instrText>
          </w:r>
          <w:r w:rsidRPr="000E56ED">
            <w:rPr>
              <w:rFonts w:ascii="Calibri" w:hAnsi="Calibri" w:cs="Calibri"/>
            </w:rPr>
            <w:fldChar w:fldCharType="separate"/>
          </w:r>
          <w:r>
            <w:rPr>
              <w:rFonts w:ascii="Calibri" w:hAnsi="Calibri" w:cs="Calibri"/>
              <w:noProof/>
            </w:rPr>
            <w:t>1</w:t>
          </w:r>
          <w:r w:rsidRPr="000E56ED">
            <w:rPr>
              <w:rFonts w:ascii="Calibri" w:hAnsi="Calibri" w:cs="Calibri"/>
            </w:rPr>
            <w:fldChar w:fldCharType="end"/>
          </w:r>
          <w:r w:rsidRPr="000E56ED">
            <w:rPr>
              <w:rFonts w:ascii="Calibri" w:hAnsi="Calibri" w:cs="Calibri"/>
            </w:rPr>
            <w:t xml:space="preserve"> of </w:t>
          </w:r>
          <w:r w:rsidR="00D17373">
            <w:rPr>
              <w:rFonts w:ascii="Calibri" w:hAnsi="Calibri" w:cs="Calibri"/>
            </w:rPr>
            <w:t>6</w:t>
          </w:r>
        </w:p>
      </w:tc>
    </w:tr>
    <w:tr w:rsidR="00D17893" w14:paraId="70FE3F93" w14:textId="77777777" w:rsidTr="000A1944">
      <w:trPr>
        <w:trHeight w:val="196"/>
      </w:trPr>
      <w:tc>
        <w:tcPr>
          <w:tcW w:w="9781" w:type="dxa"/>
          <w:gridSpan w:val="3"/>
        </w:tcPr>
        <w:p w14:paraId="7FD38766" w14:textId="331C5006" w:rsidR="00D17893" w:rsidRPr="000E56ED" w:rsidRDefault="00D17893" w:rsidP="00D17893">
          <w:pPr>
            <w:rPr>
              <w:rFonts w:ascii="Calibri" w:hAnsi="Calibri" w:cs="Calibri"/>
              <w:b/>
              <w:color w:val="FF0000"/>
            </w:rPr>
          </w:pPr>
          <w:proofErr w:type="gramStart"/>
          <w:r>
            <w:rPr>
              <w:rFonts w:ascii="Calibri" w:hAnsi="Calibri" w:cs="Calibri"/>
              <w:color w:val="FF0000"/>
            </w:rPr>
            <w:t>North West</w:t>
          </w:r>
          <w:proofErr w:type="gramEnd"/>
          <w:r>
            <w:rPr>
              <w:rFonts w:ascii="Calibri" w:hAnsi="Calibri" w:cs="Calibri"/>
              <w:color w:val="FF0000"/>
            </w:rPr>
            <w:t xml:space="preserve"> &amp; Mersey</w:t>
          </w:r>
          <w:r w:rsidRPr="000E56ED">
            <w:rPr>
              <w:rFonts w:ascii="Calibri" w:hAnsi="Calibri" w:cs="Calibri"/>
              <w:color w:val="FF0000"/>
            </w:rPr>
            <w:t xml:space="preserve"> Histopathology</w:t>
          </w:r>
          <w:r>
            <w:rPr>
              <w:rFonts w:ascii="Calibri" w:hAnsi="Calibri" w:cs="Calibri"/>
              <w:color w:val="FF0000"/>
            </w:rPr>
            <w:t xml:space="preserve"> Deanery;</w:t>
          </w:r>
          <w:r w:rsidRPr="000E56ED">
            <w:rPr>
              <w:rFonts w:ascii="Calibri" w:hAnsi="Calibri" w:cs="Calibri"/>
              <w:color w:val="FF0000"/>
            </w:rPr>
            <w:t xml:space="preserve"> Rotation: </w:t>
          </w:r>
          <w:proofErr w:type="gramStart"/>
          <w:r w:rsidRPr="000E56ED">
            <w:rPr>
              <w:rFonts w:ascii="Calibri" w:hAnsi="Calibri" w:cs="Calibri"/>
              <w:color w:val="FF0000"/>
            </w:rPr>
            <w:t>North</w:t>
          </w:r>
          <w:r>
            <w:rPr>
              <w:rFonts w:ascii="Calibri" w:hAnsi="Calibri" w:cs="Calibri"/>
              <w:color w:val="FF0000"/>
            </w:rPr>
            <w:t xml:space="preserve"> West</w:t>
          </w:r>
          <w:proofErr w:type="gramEnd"/>
        </w:p>
      </w:tc>
    </w:tr>
  </w:tbl>
  <w:p w14:paraId="62D97402" w14:textId="77777777" w:rsidR="00D17893" w:rsidRDefault="00D17893">
    <w:pPr>
      <w:pStyle w:val="Header"/>
      <w:jc w:val="right"/>
      <w:rPr>
        <w:color w:val="2C7FCE" w:themeColor="text2" w:themeTint="99"/>
        <w:sz w:val="24"/>
        <w:szCs w:val="24"/>
      </w:rPr>
    </w:pPr>
    <w:r>
      <w:rPr>
        <w:color w:val="2C7FCE" w:themeColor="text2" w:themeTint="99"/>
        <w:sz w:val="24"/>
        <w:szCs w:val="24"/>
      </w:rPr>
      <w:t xml:space="preserve">Page </w:t>
    </w:r>
    <w:r>
      <w:rPr>
        <w:color w:val="2C7FCE" w:themeColor="text2" w:themeTint="99"/>
        <w:sz w:val="24"/>
        <w:szCs w:val="24"/>
      </w:rPr>
      <w:fldChar w:fldCharType="begin"/>
    </w:r>
    <w:r>
      <w:rPr>
        <w:color w:val="2C7FCE" w:themeColor="text2" w:themeTint="99"/>
        <w:sz w:val="24"/>
        <w:szCs w:val="24"/>
      </w:rPr>
      <w:instrText xml:space="preserve"> PAGE   \* MERGEFORMAT </w:instrText>
    </w:r>
    <w:r>
      <w:rPr>
        <w:color w:val="2C7FCE" w:themeColor="text2" w:themeTint="99"/>
        <w:sz w:val="24"/>
        <w:szCs w:val="24"/>
      </w:rPr>
      <w:fldChar w:fldCharType="separate"/>
    </w:r>
    <w:r>
      <w:rPr>
        <w:noProof/>
        <w:color w:val="2C7FCE" w:themeColor="text2" w:themeTint="99"/>
        <w:sz w:val="24"/>
        <w:szCs w:val="24"/>
      </w:rPr>
      <w:t>2</w:t>
    </w:r>
    <w:r>
      <w:rPr>
        <w:color w:val="2C7FCE" w:themeColor="text2" w:themeTint="99"/>
        <w:sz w:val="24"/>
        <w:szCs w:val="24"/>
      </w:rPr>
      <w:fldChar w:fldCharType="end"/>
    </w:r>
  </w:p>
  <w:p w14:paraId="7F487E33" w14:textId="77777777" w:rsidR="00512CEC" w:rsidRDefault="00512C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82055" w14:textId="77777777" w:rsidR="000A1944" w:rsidRDefault="000A1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AD8"/>
    <w:multiLevelType w:val="hybridMultilevel"/>
    <w:tmpl w:val="14F08A98"/>
    <w:lvl w:ilvl="0" w:tplc="60785AC4">
      <w:start w:val="1"/>
      <w:numFmt w:val="decimal"/>
      <w:lvlText w:val="%1."/>
      <w:lvlJc w:val="left"/>
      <w:pPr>
        <w:ind w:left="1080" w:hanging="720"/>
      </w:pPr>
      <w:rPr>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FF265A9"/>
    <w:multiLevelType w:val="hybridMultilevel"/>
    <w:tmpl w:val="63844AE6"/>
    <w:lvl w:ilvl="0" w:tplc="60785AC4">
      <w:start w:val="1"/>
      <w:numFmt w:val="decimal"/>
      <w:lvlText w:val="%1."/>
      <w:lvlJc w:val="left"/>
      <w:pPr>
        <w:ind w:left="1080" w:hanging="720"/>
      </w:pPr>
      <w:rPr>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1014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4402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EC"/>
    <w:rsid w:val="00013428"/>
    <w:rsid w:val="00021798"/>
    <w:rsid w:val="0005059D"/>
    <w:rsid w:val="00096EC8"/>
    <w:rsid w:val="000A1944"/>
    <w:rsid w:val="000D1BBD"/>
    <w:rsid w:val="00133A28"/>
    <w:rsid w:val="0024037C"/>
    <w:rsid w:val="00282483"/>
    <w:rsid w:val="0043385E"/>
    <w:rsid w:val="004806F8"/>
    <w:rsid w:val="004D753D"/>
    <w:rsid w:val="00512CEC"/>
    <w:rsid w:val="005353A0"/>
    <w:rsid w:val="00607FFE"/>
    <w:rsid w:val="0064666F"/>
    <w:rsid w:val="00661AB9"/>
    <w:rsid w:val="006E069F"/>
    <w:rsid w:val="00717B45"/>
    <w:rsid w:val="00756E62"/>
    <w:rsid w:val="007E3029"/>
    <w:rsid w:val="007E34B3"/>
    <w:rsid w:val="00816AC5"/>
    <w:rsid w:val="00845C0D"/>
    <w:rsid w:val="008765CA"/>
    <w:rsid w:val="0089092D"/>
    <w:rsid w:val="008B67F7"/>
    <w:rsid w:val="008D79D8"/>
    <w:rsid w:val="009A7D13"/>
    <w:rsid w:val="00A0178E"/>
    <w:rsid w:val="00A02AAB"/>
    <w:rsid w:val="00A6608C"/>
    <w:rsid w:val="00A859C9"/>
    <w:rsid w:val="00AB68ED"/>
    <w:rsid w:val="00B14F9D"/>
    <w:rsid w:val="00B431AE"/>
    <w:rsid w:val="00B9351E"/>
    <w:rsid w:val="00BE379C"/>
    <w:rsid w:val="00D17373"/>
    <w:rsid w:val="00D17893"/>
    <w:rsid w:val="00D506EB"/>
    <w:rsid w:val="00DB06EB"/>
    <w:rsid w:val="00E12FB6"/>
    <w:rsid w:val="00E1533A"/>
    <w:rsid w:val="00E556B8"/>
    <w:rsid w:val="00E9485F"/>
    <w:rsid w:val="00FE0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BF47C7"/>
  <w15:chartTrackingRefBased/>
  <w15:docId w15:val="{5723CA2D-2B18-4740-950C-07C0B115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C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C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C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C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C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C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C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C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C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C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C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C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C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C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C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C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C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CEC"/>
    <w:rPr>
      <w:rFonts w:eastAsiaTheme="majorEastAsia" w:cstheme="majorBidi"/>
      <w:color w:val="272727" w:themeColor="text1" w:themeTint="D8"/>
    </w:rPr>
  </w:style>
  <w:style w:type="paragraph" w:styleId="Title">
    <w:name w:val="Title"/>
    <w:basedOn w:val="Normal"/>
    <w:next w:val="Normal"/>
    <w:link w:val="TitleChar"/>
    <w:qFormat/>
    <w:rsid w:val="00512C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12C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C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C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CEC"/>
    <w:pPr>
      <w:spacing w:before="160"/>
      <w:jc w:val="center"/>
    </w:pPr>
    <w:rPr>
      <w:i/>
      <w:iCs/>
      <w:color w:val="404040" w:themeColor="text1" w:themeTint="BF"/>
    </w:rPr>
  </w:style>
  <w:style w:type="character" w:customStyle="1" w:styleId="QuoteChar">
    <w:name w:val="Quote Char"/>
    <w:basedOn w:val="DefaultParagraphFont"/>
    <w:link w:val="Quote"/>
    <w:uiPriority w:val="29"/>
    <w:rsid w:val="00512CEC"/>
    <w:rPr>
      <w:i/>
      <w:iCs/>
      <w:color w:val="404040" w:themeColor="text1" w:themeTint="BF"/>
    </w:rPr>
  </w:style>
  <w:style w:type="paragraph" w:styleId="ListParagraph">
    <w:name w:val="List Paragraph"/>
    <w:basedOn w:val="Normal"/>
    <w:uiPriority w:val="34"/>
    <w:qFormat/>
    <w:rsid w:val="00512CEC"/>
    <w:pPr>
      <w:ind w:left="720"/>
      <w:contextualSpacing/>
    </w:pPr>
  </w:style>
  <w:style w:type="character" w:styleId="IntenseEmphasis">
    <w:name w:val="Intense Emphasis"/>
    <w:basedOn w:val="DefaultParagraphFont"/>
    <w:uiPriority w:val="21"/>
    <w:qFormat/>
    <w:rsid w:val="00512CEC"/>
    <w:rPr>
      <w:i/>
      <w:iCs/>
      <w:color w:val="0F4761" w:themeColor="accent1" w:themeShade="BF"/>
    </w:rPr>
  </w:style>
  <w:style w:type="paragraph" w:styleId="IntenseQuote">
    <w:name w:val="Intense Quote"/>
    <w:basedOn w:val="Normal"/>
    <w:next w:val="Normal"/>
    <w:link w:val="IntenseQuoteChar"/>
    <w:uiPriority w:val="30"/>
    <w:qFormat/>
    <w:rsid w:val="00512C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CEC"/>
    <w:rPr>
      <w:i/>
      <w:iCs/>
      <w:color w:val="0F4761" w:themeColor="accent1" w:themeShade="BF"/>
    </w:rPr>
  </w:style>
  <w:style w:type="character" w:styleId="IntenseReference">
    <w:name w:val="Intense Reference"/>
    <w:basedOn w:val="DefaultParagraphFont"/>
    <w:uiPriority w:val="32"/>
    <w:qFormat/>
    <w:rsid w:val="00512CEC"/>
    <w:rPr>
      <w:b/>
      <w:bCs/>
      <w:smallCaps/>
      <w:color w:val="0F4761" w:themeColor="accent1" w:themeShade="BF"/>
      <w:spacing w:val="5"/>
    </w:rPr>
  </w:style>
  <w:style w:type="paragraph" w:styleId="Header">
    <w:name w:val="header"/>
    <w:basedOn w:val="Normal"/>
    <w:link w:val="HeaderChar"/>
    <w:unhideWhenUsed/>
    <w:rsid w:val="00512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CEC"/>
  </w:style>
  <w:style w:type="paragraph" w:styleId="Footer">
    <w:name w:val="footer"/>
    <w:basedOn w:val="Normal"/>
    <w:link w:val="FooterChar"/>
    <w:unhideWhenUsed/>
    <w:rsid w:val="00512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09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Manchester University NHS Foundation Trust</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Preethi (R0A) MFT</dc:creator>
  <cp:keywords/>
  <dc:description/>
  <cp:lastModifiedBy>Joseph Preethi (R0A) MFT</cp:lastModifiedBy>
  <cp:revision>34</cp:revision>
  <dcterms:created xsi:type="dcterms:W3CDTF">2025-04-30T10:02:00Z</dcterms:created>
  <dcterms:modified xsi:type="dcterms:W3CDTF">2025-07-07T07:39:00Z</dcterms:modified>
</cp:coreProperties>
</file>